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0" w:after="160"/>
        <w:jc w:val="center"/>
      </w:pPr>
      <w:r>
        <w:rPr>
          <w:rFonts w:ascii="Calibri" w:hAnsi="Calibri"/>
          <w:b/>
          <w:i w:val="0"/>
          <w:color w:val="C62828"/>
          <w:sz w:val="18"/>
          <w:u w:val="none"/>
        </w:rPr>
        <w:t>TEMPLATE — FILL FIELDS SHOWN IN RED. REVIEW WITH LEGAL COUNSEL BEFORE EXECUTION.</w:t>
      </w:r>
    </w:p>
    <w:p>
      <w:pPr>
        <w:spacing w:before="0" w:after="40"/>
        <w:jc w:val="center"/>
      </w:pPr>
      <w:r>
        <w:rPr>
          <w:rFonts w:ascii="Calibri" w:hAnsi="Calibri"/>
          <w:b/>
          <w:i w:val="0"/>
          <w:color w:val="0E1F3A"/>
          <w:sz w:val="28"/>
          <w:u w:val="none"/>
        </w:rPr>
        <w:t>AMERICANS TRADES GROUP LLC</w:t>
      </w:r>
    </w:p>
    <w:p>
      <w:pPr>
        <w:spacing w:before="0" w:after="160"/>
        <w:jc w:val="center"/>
      </w:pPr>
      <w:r>
        <w:rPr>
          <w:rFonts w:ascii="Calibri" w:hAnsi="Calibri"/>
          <w:b w:val="0"/>
          <w:i/>
          <w:color w:val="6B7280"/>
          <w:sz w:val="20"/>
          <w:u w:val="none"/>
        </w:rPr>
        <w:t>Tire-Derived Fuel · Surplus Tire Program</w:t>
      </w:r>
    </w:p>
    <w:p>
      <w:pPr>
        <w:spacing w:before="0" w:after="40"/>
        <w:jc w:val="center"/>
      </w:pPr>
      <w:r>
        <w:rPr>
          <w:rFonts w:ascii="Calibri" w:hAnsi="Calibri"/>
          <w:b/>
          <w:i w:val="0"/>
          <w:color w:val="0E1F3A"/>
          <w:sz w:val="36"/>
          <w:u w:val="none"/>
        </w:rPr>
        <w:t>SUPPLIER ONBOARDING PACK</w:t>
      </w:r>
    </w:p>
    <w:p>
      <w:pPr>
        <w:spacing w:before="0" w:after="80"/>
        <w:jc w:val="center"/>
      </w:pPr>
      <w:r>
        <w:rPr>
          <w:rFonts w:ascii="Calibri" w:hAnsi="Calibri"/>
          <w:b w:val="0"/>
          <w:i/>
          <w:color w:val="6B7280"/>
          <w:sz w:val="20"/>
          <w:u w:val="none"/>
        </w:rPr>
        <w:t>Tire-Derived Fuel · Surplus Tire Supply Program</w:t>
      </w:r>
    </w:p>
    <w:p>
      <w:pPr>
        <w:spacing w:before="0" w:after="200"/>
        <w:pBdr>
          <w:bottom w:val="single" w:sz="8" w:space="1" w:color="0E1F3A"/>
        </w:pBdr>
      </w:pPr>
    </w:p>
    <w:p>
      <w:pPr>
        <w:spacing w:before="0" w:after="200" w:line="312" w:lineRule="auto"/>
        <w:jc w:val="both"/>
      </w:pPr>
      <w:r>
        <w:rPr>
          <w:rFonts w:ascii="Calibri" w:hAnsi="Calibri"/>
          <w:b w:val="0"/>
          <w:i w:val="0"/>
          <w:sz w:val="22"/>
          <w:u w:val="none"/>
        </w:rPr>
        <w:t>This pack contains the standard documents Americans Trades Group LLC uses to onboard a new supplier of used pneumatic tyres or tyre-derived fuel (TDF) for delivery to cement plants in Pakistan. The documents are sequenced from initial contact through binding agreement.</w:t>
      </w:r>
    </w:p>
    <w:p>
      <w:pPr>
        <w:spacing w:before="160" w:after="80"/>
      </w:pPr>
      <w:r>
        <w:rPr>
          <w:rFonts w:ascii="Calibri" w:hAnsi="Calibri"/>
          <w:b/>
          <w:i w:val="0"/>
          <w:color w:val="0E1F3A"/>
          <w:sz w:val="24"/>
          <w:u w:val="none"/>
        </w:rPr>
        <w:t>Document Sequence</w:t>
      </w:r>
    </w:p>
    <w:tbl>
      <w:tblPr>
        <w:tblW w:type="auto" w:w="0"/>
        <w:tblLayout w:type="fixed"/>
        <w:tblLook w:firstColumn="1" w:firstRow="1" w:lastColumn="0" w:lastRow="0" w:noHBand="0" w:noVBand="1" w:val="04A0"/>
      </w:tblPr>
      <w:tblGrid>
        <w:gridCol w:w="4513"/>
        <w:gridCol w:w="4513"/>
      </w:tblGrid>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01 — Mutual NDA</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sz w:val="21"/>
              </w:rPr>
              <w:t>Signed at first technical exchange. Covers commercial, operational and inspection information. 3-year term, 5-year survival of confidentiality.</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02 — Letter of Intent (LOI)</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sz w:val="21"/>
              </w:rPr>
              <w:t>Indicative non-binding terms (volumes, ports, indicative price, term). Binds only on confidentiality, exclusivity (if any), costs and dispute resolution. 60-day validity.</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03 — TDF Specification Sheet</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sz w:val="21"/>
              </w:rPr>
              <w:t>Product spec for kiln-grade TDF: NCV 28–32 MJ/kg, moisture ≤2%, sulfur ≤2%, chlorine ≤0.5%, plus heavy-metals limits, sampling, PSI, rejection criteria.</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04 — Supply &amp; Purchase Agreement (SPA)</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sz w:val="21"/>
              </w:rPr>
              <w:t>Binding contract: parties, quantity, term, price, payment, Incoterms, inspection, regulatory compliance (Basel, Pak-EPA), force majeure, liability, governing law.</w:t>
            </w:r>
          </w:p>
        </w:tc>
      </w:tr>
      <w:tr>
        <w:tc>
          <w:tcPr>
            <w:tcW w:type="dxa" w:w="3456"/>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b/>
                <w:color w:val="0E1F3A"/>
                <w:sz w:val="21"/>
              </w:rPr>
              <w:t>05 — KYC / AML Questionnaire</w:t>
            </w:r>
          </w:p>
        </w:tc>
        <w:tc>
          <w:tcPr>
            <w:tcW w:type="dxa" w:w="5904"/>
            <w:vAlign w:val="top"/>
            <w:tcBorders>
              <w:top w:val="single" w:sz="4" w:color="CCCCCC"/>
              <w:left w:val="single" w:sz="4" w:color="CCCCCC"/>
              <w:bottom w:val="single" w:sz="4" w:color="CCCCCC"/>
              <w:right w:val="single" w:sz="4" w:color="CCCCCC"/>
            </w:tcBorders>
            <w:tcMar>
              <w:top w:w="60" w:type="dxa"/>
              <w:left w:w="90" w:type="dxa"/>
              <w:bottom w:w="60" w:type="dxa"/>
              <w:right w:w="90" w:type="dxa"/>
            </w:tcMar>
          </w:tcPr>
          <w:p>
            <w:pPr>
              <w:spacing w:after="40"/>
            </w:pPr>
            <w:r>
              <w:rPr>
                <w:sz w:val="21"/>
              </w:rPr>
              <w:t>Counterparty due diligence: company information, beneficial ownership (&gt;25%), directors, sanctions and PEP screening, source of funds, banking details, supporting attachments.</w:t>
            </w:r>
          </w:p>
        </w:tc>
      </w:tr>
    </w:tbl>
    <w:p>
      <w:pPr>
        <w:spacing w:before="0" w:after="160"/>
      </w:pPr>
    </w:p>
    <w:p>
      <w:pPr>
        <w:spacing w:before="160" w:after="80"/>
      </w:pPr>
      <w:r>
        <w:rPr>
          <w:rFonts w:ascii="Calibri" w:hAnsi="Calibri"/>
          <w:b/>
          <w:i w:val="0"/>
          <w:color w:val="0E1F3A"/>
          <w:sz w:val="24"/>
          <w:u w:val="none"/>
        </w:rPr>
        <w:t>Recommended Execution Order</w:t>
      </w:r>
    </w:p>
    <w:p>
      <w:pPr>
        <w:spacing w:after="100" w:line="312" w:lineRule="auto"/>
        <w:ind w:left="648" w:hanging="648"/>
        <w:jc w:val="both"/>
      </w:pPr>
      <w:r>
        <w:rPr>
          <w:b/>
          <w:color w:val="0E1F3A"/>
          <w:sz w:val="21"/>
        </w:rPr>
        <w:t xml:space="preserve">1.  </w:t>
      </w:r>
      <w:r>
        <w:rPr>
          <w:sz w:val="21"/>
        </w:rPr>
        <w:t>Sign NDA before sharing any commercial or operational data.</w:t>
      </w:r>
    </w:p>
    <w:p>
      <w:pPr>
        <w:spacing w:after="100" w:line="312" w:lineRule="auto"/>
        <w:ind w:left="648" w:hanging="648"/>
        <w:jc w:val="both"/>
      </w:pPr>
      <w:r>
        <w:rPr>
          <w:b/>
          <w:color w:val="0E1F3A"/>
          <w:sz w:val="21"/>
        </w:rPr>
        <w:t xml:space="preserve">2.  </w:t>
      </w:r>
      <w:r>
        <w:rPr>
          <w:sz w:val="21"/>
        </w:rPr>
        <w:t>Complete and exchange the LOI to fix the indicative deal scope.</w:t>
      </w:r>
    </w:p>
    <w:p>
      <w:pPr>
        <w:spacing w:after="100" w:line="312" w:lineRule="auto"/>
        <w:ind w:left="648" w:hanging="648"/>
        <w:jc w:val="both"/>
      </w:pPr>
      <w:r>
        <w:rPr>
          <w:b/>
          <w:color w:val="0E1F3A"/>
          <w:sz w:val="21"/>
        </w:rPr>
        <w:t xml:space="preserve">3.  </w:t>
      </w:r>
      <w:r>
        <w:rPr>
          <w:sz w:val="21"/>
        </w:rPr>
        <w:t>Issue the KYC/AML Questionnaire and collect attachments. Run OFAC / EU / UK / UN sanctions screening on the company, every UBO above 25% and every authorised signatory.</w:t>
      </w:r>
    </w:p>
    <w:p>
      <w:pPr>
        <w:spacing w:after="100" w:line="312" w:lineRule="auto"/>
        <w:ind w:left="648" w:hanging="648"/>
        <w:jc w:val="both"/>
      </w:pPr>
      <w:r>
        <w:rPr>
          <w:b/>
          <w:color w:val="0E1F3A"/>
          <w:sz w:val="21"/>
        </w:rPr>
        <w:t xml:space="preserve">4.  </w:t>
      </w:r>
      <w:r>
        <w:rPr>
          <w:sz w:val="21"/>
        </w:rPr>
        <w:t>Agree the TDF Specification Sheet (Schedule 1 of the SPA).</w:t>
      </w:r>
    </w:p>
    <w:p>
      <w:pPr>
        <w:spacing w:after="100" w:line="312" w:lineRule="auto"/>
        <w:ind w:left="648" w:hanging="648"/>
        <w:jc w:val="both"/>
      </w:pPr>
      <w:r>
        <w:rPr>
          <w:b/>
          <w:color w:val="0E1F3A"/>
          <w:sz w:val="21"/>
        </w:rPr>
        <w:t xml:space="preserve">5.  </w:t>
      </w:r>
      <w:r>
        <w:rPr>
          <w:sz w:val="21"/>
        </w:rPr>
        <w:t>Negotiate and sign the SPA. Perform a Basel notification and obtain the Pak-EPA NOC before the first shipment.</w:t>
      </w:r>
    </w:p>
    <w:p>
      <w:pPr>
        <w:spacing w:before="0" w:after="160"/>
      </w:pPr>
    </w:p>
    <w:p>
      <w:pPr>
        <w:spacing w:before="160" w:after="80"/>
      </w:pPr>
      <w:r>
        <w:rPr>
          <w:rFonts w:ascii="Calibri" w:hAnsi="Calibri"/>
          <w:b/>
          <w:i w:val="0"/>
          <w:color w:val="0E1F3A"/>
          <w:sz w:val="24"/>
          <w:u w:val="none"/>
        </w:rPr>
        <w:t>Fields to Complete (red placeholders)</w:t>
      </w:r>
    </w:p>
    <w:p>
      <w:pPr>
        <w:spacing w:before="0" w:after="200" w:line="312" w:lineRule="auto"/>
        <w:jc w:val="both"/>
      </w:pPr>
      <w:r>
        <w:rPr>
          <w:rFonts w:ascii="Calibri" w:hAnsi="Calibri"/>
          <w:b w:val="0"/>
          <w:i w:val="0"/>
          <w:sz w:val="21"/>
          <w:u w:val="none"/>
        </w:rPr>
        <w:t>All red text in the templates is placeholder text. Before sending any document to a supplier, replace every red field. The most common items to fill in are: governing law and arbitration seat, the supplier’s legal name and registered address, the buyer’s state of incorporation and registered address, indicative volumes and price, the agreed Incoterms rule, the loading port, and dates.</w:t>
      </w:r>
    </w:p>
    <w:p>
      <w:pPr>
        <w:spacing w:before="0" w:after="160"/>
      </w:pPr>
    </w:p>
    <w:p>
      <w:pPr>
        <w:spacing w:before="0" w:after="80"/>
        <w:jc w:val="center"/>
      </w:pPr>
      <w:r>
        <w:rPr>
          <w:rFonts w:ascii="Calibri" w:hAnsi="Calibri"/>
          <w:b w:val="0"/>
          <w:i/>
          <w:color w:val="6B7280"/>
          <w:sz w:val="17"/>
          <w:u w:val="none"/>
        </w:rPr>
        <w:t>This is a template document prepared for internal use. It is not legal advice. Engage qualified counsel in the relevant jurisdiction(s) before executing any binding agreement.</w:t>
      </w:r>
    </w:p>
    <w:sectPr w:rsidR="00FC693F" w:rsidRPr="0006063C" w:rsidSect="00034616">
      <w:pgSz w:w="11906" w:h="16838"/>
      <w:pgMar w:top="1296" w:right="1440" w:bottom="129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