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jc w:val="center"/>
      </w:pPr>
      <w:r>
        <w:rPr>
          <w:rFonts w:ascii="Calibri" w:hAnsi="Calibri"/>
          <w:b/>
          <w:i w:val="0"/>
          <w:color w:val="C62828"/>
          <w:sz w:val="18"/>
          <w:u w:val="none"/>
        </w:rPr>
        <w:t>TEMPLATE — FILL FIELDS SHOWN IN RED. REVIEW WITH LEGAL COUNSEL BEFORE EXECUTION.</w:t>
      </w:r>
    </w:p>
    <w:p>
      <w:pPr>
        <w:spacing w:before="0" w:after="40"/>
        <w:jc w:val="center"/>
      </w:pPr>
      <w:r>
        <w:rPr>
          <w:rFonts w:ascii="Calibri" w:hAnsi="Calibri"/>
          <w:b/>
          <w:i w:val="0"/>
          <w:color w:val="0E1F3A"/>
          <w:sz w:val="28"/>
          <w:u w:val="none"/>
        </w:rPr>
        <w:t>AMERICANS TRADES GROUP LLC</w:t>
      </w:r>
    </w:p>
    <w:p>
      <w:pPr>
        <w:spacing w:before="0" w:after="160"/>
        <w:jc w:val="center"/>
      </w:pPr>
      <w:r>
        <w:rPr>
          <w:rFonts w:ascii="Calibri" w:hAnsi="Calibri"/>
          <w:b w:val="0"/>
          <w:i/>
          <w:color w:val="6B7280"/>
          <w:sz w:val="20"/>
          <w:u w:val="none"/>
        </w:rPr>
        <w:t>Tire-Derived Fuel · Surplus Tire Program</w:t>
      </w:r>
    </w:p>
    <w:p>
      <w:pPr>
        <w:spacing w:before="0" w:after="40"/>
        <w:jc w:val="center"/>
      </w:pPr>
      <w:r>
        <w:rPr>
          <w:rFonts w:ascii="Calibri" w:hAnsi="Calibri"/>
          <w:b/>
          <w:i w:val="0"/>
          <w:color w:val="0E1F3A"/>
          <w:sz w:val="36"/>
          <w:u w:val="none"/>
        </w:rPr>
        <w:t>MUTUAL NON-DISCLOSURE AGREEMENT</w:t>
      </w:r>
    </w:p>
    <w:p>
      <w:pPr>
        <w:spacing w:before="0" w:after="80"/>
        <w:jc w:val="center"/>
      </w:pPr>
      <w:r>
        <w:rPr>
          <w:rFonts w:ascii="Calibri" w:hAnsi="Calibri"/>
          <w:b w:val="0"/>
          <w:i/>
          <w:color w:val="6B7280"/>
          <w:sz w:val="20"/>
          <w:u w:val="none"/>
        </w:rPr>
        <w:t>Tire-Derived Fuel · Surplus Tire Supply Discussions</w:t>
      </w:r>
    </w:p>
    <w:p>
      <w:pPr>
        <w:spacing w:before="0" w:after="200"/>
        <w:pBdr>
          <w:bottom w:val="single" w:sz="8" w:space="1" w:color="0E1F3A"/>
        </w:pBdr>
      </w:pPr>
    </w:p>
    <w:p>
      <w:pPr>
        <w:spacing w:before="0" w:after="160" w:line="312" w:lineRule="auto"/>
        <w:jc w:val="both"/>
      </w:pPr>
      <w:r>
        <w:rPr>
          <w:rFonts w:ascii="Calibri" w:hAnsi="Calibri"/>
          <w:b w:val="0"/>
          <w:i w:val="0"/>
          <w:sz w:val="22"/>
          <w:u w:val="none"/>
        </w:rPr>
        <w:t xml:space="preserve">This Mutual Non-Disclosure Agreement (the “Agreement”) is entered into on </w:t>
      </w:r>
      <w:r>
        <w:rPr>
          <w:rFonts w:ascii="Calibri" w:hAnsi="Calibri"/>
          <w:b w:val="0"/>
          <w:i w:val="0"/>
          <w:color w:val="C62828"/>
          <w:sz w:val="22"/>
          <w:u w:val="none"/>
        </w:rPr>
        <w:t>____ ____________ 2026</w:t>
      </w:r>
      <w:r>
        <w:rPr>
          <w:rFonts w:ascii="Calibri" w:hAnsi="Calibri"/>
          <w:b w:val="0"/>
          <w:i w:val="0"/>
          <w:sz w:val="22"/>
          <w:u w:val="none"/>
        </w:rPr>
        <w:t xml:space="preserve"> (the “Effective Date”) by and between:</w:t>
      </w:r>
    </w:p>
    <w:p>
      <w:pPr>
        <w:spacing w:before="0" w:after="40"/>
      </w:pPr>
      <w:r>
        <w:rPr>
          <w:rFonts w:ascii="Calibri" w:hAnsi="Calibri"/>
          <w:b/>
          <w:i w:val="0"/>
          <w:color w:val="0E1F3A"/>
          <w:sz w:val="22"/>
          <w:u w:val="none"/>
        </w:rPr>
        <w:t>(1)  AMERICANS TRADES GROUP LLC</w:t>
      </w:r>
    </w:p>
    <w:p>
      <w:pPr>
        <w:spacing w:before="0" w:after="200" w:line="312" w:lineRule="auto"/>
        <w:jc w:val="both"/>
      </w:pPr>
      <w:r>
        <w:rPr>
          <w:rFonts w:ascii="Calibri" w:hAnsi="Calibri"/>
          <w:b w:val="0"/>
          <w:i w:val="0"/>
          <w:sz w:val="22"/>
          <w:u w:val="none"/>
        </w:rPr>
        <w:t xml:space="preserve">a limited liability company organised and existing under the laws of </w:t>
      </w:r>
      <w:r>
        <w:rPr>
          <w:rFonts w:ascii="Calibri" w:hAnsi="Calibri"/>
          <w:b w:val="0"/>
          <w:i w:val="0"/>
          <w:color w:val="C62828"/>
          <w:sz w:val="22"/>
          <w:u w:val="none"/>
        </w:rPr>
        <w:t>[STATE / COUNTRY OF INCORPORATION]</w:t>
      </w:r>
      <w:r>
        <w:rPr>
          <w:rFonts w:ascii="Calibri" w:hAnsi="Calibri"/>
          <w:b w:val="0"/>
          <w:i w:val="0"/>
          <w:sz w:val="22"/>
          <w:u w:val="none"/>
        </w:rPr>
        <w:t xml:space="preserve">, with its registered office at </w:t>
      </w:r>
      <w:r>
        <w:rPr>
          <w:rFonts w:ascii="Calibri" w:hAnsi="Calibri"/>
          <w:b w:val="0"/>
          <w:i w:val="0"/>
          <w:color w:val="C62828"/>
          <w:sz w:val="22"/>
          <w:u w:val="none"/>
        </w:rPr>
        <w:t>[REGISTERED ADDRESS]</w:t>
      </w:r>
      <w:r>
        <w:rPr>
          <w:rFonts w:ascii="Calibri" w:hAnsi="Calibri"/>
          <w:b w:val="0"/>
          <w:i w:val="0"/>
          <w:sz w:val="22"/>
          <w:u w:val="none"/>
        </w:rPr>
        <w:t xml:space="preserve"> (“</w:t>
      </w:r>
      <w:r>
        <w:rPr>
          <w:rFonts w:ascii="Calibri" w:hAnsi="Calibri"/>
          <w:b/>
          <w:i w:val="0"/>
          <w:sz w:val="22"/>
          <w:u w:val="none"/>
        </w:rPr>
        <w:t>Buyer</w:t>
      </w:r>
      <w:r>
        <w:rPr>
          <w:rFonts w:ascii="Calibri" w:hAnsi="Calibri"/>
          <w:b w:val="0"/>
          <w:i w:val="0"/>
          <w:sz w:val="22"/>
          <w:u w:val="none"/>
        </w:rPr>
        <w:t>”); and</w:t>
      </w:r>
    </w:p>
    <w:p>
      <w:pPr>
        <w:spacing w:before="0" w:after="40"/>
      </w:pPr>
      <w:r>
        <w:rPr>
          <w:rFonts w:ascii="Calibri" w:hAnsi="Calibri"/>
          <w:b/>
          <w:i w:val="0"/>
          <w:color w:val="C62828"/>
          <w:sz w:val="22"/>
          <w:u w:val="none"/>
        </w:rPr>
        <w:t>(2)  [SUPPLIER LEGAL NAME]</w:t>
      </w:r>
    </w:p>
    <w:p>
      <w:pPr>
        <w:spacing w:before="0" w:after="160" w:line="312" w:lineRule="auto"/>
        <w:jc w:val="both"/>
      </w:pPr>
      <w:r>
        <w:rPr>
          <w:rFonts w:ascii="Calibri" w:hAnsi="Calibri"/>
          <w:b w:val="0"/>
          <w:i w:val="0"/>
          <w:sz w:val="22"/>
          <w:u w:val="none"/>
        </w:rPr>
        <w:t xml:space="preserve">a company organised and existing under the laws of </w:t>
      </w:r>
      <w:r>
        <w:rPr>
          <w:rFonts w:ascii="Calibri" w:hAnsi="Calibri"/>
          <w:b w:val="0"/>
          <w:i w:val="0"/>
          <w:color w:val="C62828"/>
          <w:sz w:val="22"/>
          <w:u w:val="none"/>
        </w:rPr>
        <w:t>[COUNTRY]</w:t>
      </w:r>
      <w:r>
        <w:rPr>
          <w:rFonts w:ascii="Calibri" w:hAnsi="Calibri"/>
          <w:b w:val="0"/>
          <w:i w:val="0"/>
          <w:sz w:val="22"/>
          <w:u w:val="none"/>
        </w:rPr>
        <w:t xml:space="preserve">, with its registered office at </w:t>
      </w:r>
      <w:r>
        <w:rPr>
          <w:rFonts w:ascii="Calibri" w:hAnsi="Calibri"/>
          <w:b w:val="0"/>
          <w:i w:val="0"/>
          <w:color w:val="C62828"/>
          <w:sz w:val="22"/>
          <w:u w:val="none"/>
        </w:rPr>
        <w:t>[REGISTERED ADDRESS]</w:t>
      </w:r>
      <w:r>
        <w:rPr>
          <w:rFonts w:ascii="Calibri" w:hAnsi="Calibri"/>
          <w:b w:val="0"/>
          <w:i w:val="0"/>
          <w:sz w:val="22"/>
          <w:u w:val="none"/>
        </w:rPr>
        <w:t xml:space="preserve"> (“</w:t>
      </w:r>
      <w:r>
        <w:rPr>
          <w:rFonts w:ascii="Calibri" w:hAnsi="Calibri"/>
          <w:b/>
          <w:i w:val="0"/>
          <w:sz w:val="22"/>
          <w:u w:val="none"/>
        </w:rPr>
        <w:t>Supplier</w:t>
      </w:r>
      <w:r>
        <w:rPr>
          <w:rFonts w:ascii="Calibri" w:hAnsi="Calibri"/>
          <w:b w:val="0"/>
          <w:i w:val="0"/>
          <w:sz w:val="22"/>
          <w:u w:val="none"/>
        </w:rPr>
        <w:t>”),</w:t>
      </w:r>
    </w:p>
    <w:p>
      <w:pPr>
        <w:spacing w:before="0" w:after="200"/>
        <w:jc w:val="both"/>
      </w:pPr>
      <w:r>
        <w:rPr>
          <w:rFonts w:ascii="Calibri" w:hAnsi="Calibri"/>
          <w:b w:val="0"/>
          <w:i w:val="0"/>
          <w:sz w:val="22"/>
          <w:u w:val="none"/>
        </w:rPr>
        <w:t>each a “</w:t>
      </w:r>
      <w:r>
        <w:rPr>
          <w:rFonts w:ascii="Calibri" w:hAnsi="Calibri"/>
          <w:b/>
          <w:i w:val="0"/>
          <w:sz w:val="22"/>
          <w:u w:val="none"/>
        </w:rPr>
        <w:t>Party</w:t>
      </w:r>
      <w:r>
        <w:rPr>
          <w:rFonts w:ascii="Calibri" w:hAnsi="Calibri"/>
          <w:b w:val="0"/>
          <w:i w:val="0"/>
          <w:sz w:val="22"/>
          <w:u w:val="none"/>
        </w:rPr>
        <w:t>” and together the “</w:t>
      </w:r>
      <w:r>
        <w:rPr>
          <w:rFonts w:ascii="Calibri" w:hAnsi="Calibri"/>
          <w:b/>
          <w:i w:val="0"/>
          <w:sz w:val="22"/>
          <w:u w:val="none"/>
        </w:rPr>
        <w:t>Parties</w:t>
      </w:r>
      <w:r>
        <w:rPr>
          <w:rFonts w:ascii="Calibri" w:hAnsi="Calibri"/>
          <w:b w:val="0"/>
          <w:i w:val="0"/>
          <w:sz w:val="22"/>
          <w:u w:val="none"/>
        </w:rPr>
        <w:t>”.</w:t>
      </w:r>
    </w:p>
    <w:p>
      <w:pPr>
        <w:spacing w:before="160" w:after="80"/>
      </w:pPr>
      <w:r>
        <w:rPr>
          <w:rFonts w:ascii="Calibri" w:hAnsi="Calibri"/>
          <w:b/>
          <w:i w:val="0"/>
          <w:color w:val="0E1F3A"/>
          <w:sz w:val="24"/>
          <w:u w:val="none"/>
        </w:rPr>
        <w:t>Recitals</w:t>
      </w:r>
    </w:p>
    <w:p>
      <w:pPr>
        <w:spacing w:before="0" w:after="80" w:line="312" w:lineRule="auto"/>
        <w:jc w:val="both"/>
      </w:pPr>
      <w:r>
        <w:rPr>
          <w:rFonts w:ascii="Calibri" w:hAnsi="Calibri"/>
          <w:b w:val="0"/>
          <w:i w:val="0"/>
          <w:sz w:val="22"/>
          <w:u w:val="none"/>
        </w:rPr>
        <w:t>(A)  The Parties wish to engage in discussions concerning the potential supply by Supplier to Buyer of used pneumatic tyres and / or tyre-derived fuel (TDF) for co-processing in cement kilns (the “</w:t>
      </w:r>
      <w:r>
        <w:rPr>
          <w:rFonts w:ascii="Calibri" w:hAnsi="Calibri"/>
          <w:b/>
          <w:i w:val="0"/>
          <w:sz w:val="22"/>
          <w:u w:val="none"/>
        </w:rPr>
        <w:t>Purpose</w:t>
      </w:r>
      <w:r>
        <w:rPr>
          <w:rFonts w:ascii="Calibri" w:hAnsi="Calibri"/>
          <w:b w:val="0"/>
          <w:i w:val="0"/>
          <w:sz w:val="22"/>
          <w:u w:val="none"/>
        </w:rPr>
        <w:t>”);</w:t>
      </w:r>
    </w:p>
    <w:p>
      <w:pPr>
        <w:spacing w:before="0" w:after="80" w:line="312" w:lineRule="auto"/>
        <w:jc w:val="both"/>
      </w:pPr>
      <w:r>
        <w:rPr>
          <w:rFonts w:ascii="Calibri" w:hAnsi="Calibri"/>
          <w:b w:val="0"/>
          <w:i w:val="0"/>
          <w:sz w:val="22"/>
          <w:u w:val="none"/>
        </w:rPr>
        <w:t>(B)  In connection with the Purpose, each Party may disclose to the other certain confidential and proprietary information; and</w:t>
      </w:r>
    </w:p>
    <w:p>
      <w:pPr>
        <w:spacing w:before="0" w:after="200" w:line="312" w:lineRule="auto"/>
        <w:jc w:val="both"/>
      </w:pPr>
      <w:r>
        <w:rPr>
          <w:rFonts w:ascii="Calibri" w:hAnsi="Calibri"/>
          <w:b w:val="0"/>
          <w:i w:val="0"/>
          <w:sz w:val="22"/>
          <w:u w:val="none"/>
        </w:rPr>
        <w:t>(C)  The Parties wish to set out the terms upon which such information shall be received and treated.</w:t>
      </w:r>
    </w:p>
    <w:p>
      <w:pPr>
        <w:spacing w:before="0" w:after="160"/>
      </w:pPr>
      <w:r>
        <w:rPr>
          <w:rFonts w:ascii="Calibri" w:hAnsi="Calibri"/>
          <w:b/>
          <w:i w:val="0"/>
          <w:sz w:val="22"/>
          <w:u w:val="none"/>
        </w:rPr>
        <w:t>It is agreed as follows:</w:t>
      </w:r>
    </w:p>
    <w:p>
      <w:pPr>
        <w:spacing w:before="160" w:after="80"/>
      </w:pPr>
      <w:r>
        <w:rPr>
          <w:rFonts w:ascii="Calibri" w:hAnsi="Calibri"/>
          <w:b/>
          <w:i w:val="0"/>
          <w:color w:val="0E1F3A"/>
          <w:sz w:val="24"/>
          <w:u w:val="none"/>
        </w:rPr>
        <w:t>Operative Provisions</w:t>
      </w:r>
    </w:p>
    <w:p>
      <w:pPr>
        <w:spacing w:after="120" w:line="300" w:lineRule="auto"/>
        <w:ind w:left="648" w:hanging="648"/>
        <w:jc w:val="both"/>
      </w:pPr>
      <w:r>
        <w:rPr>
          <w:b/>
          <w:color w:val="0E1F3A"/>
          <w:sz w:val="21"/>
        </w:rPr>
        <w:t xml:space="preserve">1.  </w:t>
      </w:r>
      <w:r>
        <w:rPr>
          <w:sz w:val="21"/>
        </w:rPr>
        <w:t>“Confidential Information” means any and all information of a confidential or proprietary nature disclosed by one Party (the “Disclosing Party”) to the other (the “Receiving Party”) in connection with the Purpose, whether disclosed orally, in writing, electronically or by any other means, and whether or not marked as confidential, including without limitation: technical, commercial, financial, regulatory, operational, customer, supplier, pricing, volume, inventory, quality and logistics information; site visits, photographs, samples and inspection findings; the existence and content of the Parties’ discussions; and the terms of any draft or executed agreements between the Parties.</w:t>
      </w:r>
    </w:p>
    <w:p>
      <w:pPr>
        <w:spacing w:after="120" w:line="300" w:lineRule="auto"/>
        <w:ind w:left="648" w:hanging="648"/>
        <w:jc w:val="both"/>
      </w:pPr>
      <w:r>
        <w:rPr>
          <w:b/>
          <w:color w:val="0E1F3A"/>
          <w:sz w:val="21"/>
        </w:rPr>
        <w:t xml:space="preserve">2.  </w:t>
      </w:r>
      <w:r>
        <w:rPr>
          <w:sz w:val="21"/>
        </w:rPr>
        <w:t>Confidential Information shall not include information which: (a) is or becomes publicly available other than as a result of breach of this Agreement; (b) was lawfully in the possession of the Receiving Party prior to disclosure, free of any duty of confidentiality; (c) is independently developed by the Receiving Party without use of or reference to the Confidential Information; or (d) is rightfully received from a third party without breach of any duty of confidentiality.</w:t>
      </w:r>
    </w:p>
    <w:p>
      <w:pPr>
        <w:spacing w:after="120" w:line="300" w:lineRule="auto"/>
        <w:ind w:left="648" w:hanging="648"/>
        <w:jc w:val="both"/>
      </w:pPr>
      <w:r>
        <w:rPr>
          <w:b/>
          <w:color w:val="0E1F3A"/>
          <w:sz w:val="21"/>
        </w:rPr>
        <w:t xml:space="preserve">3.  </w:t>
      </w:r>
      <w:r>
        <w:rPr>
          <w:sz w:val="21"/>
        </w:rPr>
        <w:t>The Receiving Party shall: (a) hold all Confidential Information in strict confidence and protect it with at least the same degree of care it uses for its own confidential information of like importance, and in any event no less than a reasonable standard of care; (b) use Confidential Information solely for the Purpose; (c) limit disclosure to its directors, officers, employees, professional advisors, financiers and affiliates who have a legitimate need to know and are bound by obligations of confidentiality no less stringent than those set out in this Agreement (“Representatives”); and (d) be liable for any breach of this Agreement by its Representatives.</w:t>
      </w:r>
    </w:p>
    <w:p>
      <w:pPr>
        <w:spacing w:after="120" w:line="300" w:lineRule="auto"/>
        <w:ind w:left="648" w:hanging="648"/>
        <w:jc w:val="both"/>
      </w:pPr>
      <w:r>
        <w:rPr>
          <w:b/>
          <w:color w:val="0E1F3A"/>
          <w:sz w:val="21"/>
        </w:rPr>
        <w:t xml:space="preserve">4.  </w:t>
      </w:r>
      <w:r>
        <w:rPr>
          <w:sz w:val="21"/>
        </w:rPr>
        <w:t>The Receiving Party may disclose Confidential Information to the extent required by law, regulation, court order or competent regulatory authority, provided that, where lawful and practicable, the Receiving Party gives the Disclosing Party prompt prior written notice and reasonable opportunity to seek a protective order.</w:t>
      </w:r>
    </w:p>
    <w:p>
      <w:pPr>
        <w:spacing w:after="120" w:line="300" w:lineRule="auto"/>
        <w:ind w:left="648" w:hanging="648"/>
        <w:jc w:val="both"/>
      </w:pPr>
      <w:r>
        <w:rPr>
          <w:b/>
          <w:color w:val="0E1F3A"/>
          <w:sz w:val="21"/>
        </w:rPr>
        <w:t xml:space="preserve">5.  </w:t>
      </w:r>
      <w:r>
        <w:rPr>
          <w:sz w:val="21"/>
        </w:rPr>
        <w:t>All Confidential Information shall remain the property of the Disclosing Party. Nothing in this Agreement transfers or grants any right, title or licence (whether express or implied) under any patent, trademark, copyright, trade secret or other intellectual property right.</w:t>
      </w:r>
    </w:p>
    <w:p>
      <w:pPr>
        <w:spacing w:after="120" w:line="300" w:lineRule="auto"/>
        <w:ind w:left="648" w:hanging="648"/>
        <w:jc w:val="both"/>
      </w:pPr>
      <w:r>
        <w:rPr>
          <w:b/>
          <w:color w:val="0E1F3A"/>
          <w:sz w:val="21"/>
        </w:rPr>
        <w:t xml:space="preserve">6.  </w:t>
      </w:r>
      <w:r>
        <w:rPr>
          <w:sz w:val="21"/>
        </w:rPr>
        <w:t>Upon written request of the Disclosing Party, or upon expiry or termination of this Agreement, the Receiving Party shall promptly return or, at the Disclosing Party’s option, securely destroy all Confidential Information in its possession or control, save that the Receiving Party may retain one copy for legal or regulatory compliance purposes, which copy shall remain subject to this Agreement.</w:t>
      </w:r>
    </w:p>
    <w:p>
      <w:pPr>
        <w:spacing w:after="120" w:line="300" w:lineRule="auto"/>
        <w:ind w:left="648" w:hanging="648"/>
        <w:jc w:val="both"/>
      </w:pPr>
      <w:r>
        <w:rPr>
          <w:b/>
          <w:color w:val="0E1F3A"/>
          <w:sz w:val="21"/>
        </w:rPr>
        <w:t xml:space="preserve">7.  </w:t>
      </w:r>
      <w:r>
        <w:rPr>
          <w:sz w:val="21"/>
        </w:rPr>
        <w:t>This Agreement shall come into effect on the Effective Date and shall remain in force for a period of three (3) years thereafter, or until earlier termination by either Party on thirty (30) days’ written notice. The confidentiality obligations set out herein shall survive termination or expiry for a further period of five (5) years.</w:t>
      </w:r>
    </w:p>
    <w:p>
      <w:pPr>
        <w:spacing w:after="120" w:line="300" w:lineRule="auto"/>
        <w:ind w:left="648" w:hanging="648"/>
        <w:jc w:val="both"/>
      </w:pPr>
      <w:r>
        <w:rPr>
          <w:b/>
          <w:color w:val="0E1F3A"/>
          <w:sz w:val="21"/>
        </w:rPr>
        <w:t xml:space="preserve">8.  </w:t>
      </w:r>
      <w:r>
        <w:rPr>
          <w:sz w:val="21"/>
        </w:rPr>
        <w:t>The Parties acknowledge that breach of this Agreement may cause irreparable harm for which damages alone would not be an adequate remedy, and that the Disclosing Party shall be entitled to seek injunctive or equitable relief in addition to any other remedies available at law or in equity.</w:t>
      </w:r>
    </w:p>
    <w:p>
      <w:pPr>
        <w:spacing w:after="120" w:line="300" w:lineRule="auto"/>
        <w:ind w:left="648" w:hanging="648"/>
        <w:jc w:val="both"/>
      </w:pPr>
      <w:r>
        <w:rPr>
          <w:b/>
          <w:color w:val="0E1F3A"/>
          <w:sz w:val="21"/>
        </w:rPr>
        <w:t xml:space="preserve">9.  </w:t>
      </w:r>
      <w:r>
        <w:rPr>
          <w:sz w:val="21"/>
        </w:rPr>
        <w:t>Neither Party shall use the name, logo or trademarks of the other, or refer to the existence or content of this Agreement or the Parties’ discussions, in any public statement, press release, marketing material or social-media post, without the prior written consent of the other Party.</w:t>
      </w:r>
    </w:p>
    <w:p>
      <w:pPr>
        <w:spacing w:after="120" w:line="300" w:lineRule="auto"/>
        <w:ind w:left="648" w:hanging="648"/>
        <w:jc w:val="both"/>
      </w:pPr>
      <w:r>
        <w:rPr>
          <w:b/>
          <w:color w:val="0E1F3A"/>
          <w:sz w:val="21"/>
        </w:rPr>
        <w:t xml:space="preserve">10.  </w:t>
      </w:r>
      <w:r>
        <w:rPr>
          <w:sz w:val="21"/>
        </w:rPr>
        <w:t>This Agreement constitutes the entire agreement between the Parties in relation to its subject matter and supersedes all prior understandings, whether written or oral. No amendment shall be effective unless made in writing and signed by both Parties.</w:t>
      </w:r>
    </w:p>
    <w:p>
      <w:pPr>
        <w:spacing w:after="120" w:line="300" w:lineRule="auto"/>
        <w:ind w:left="648" w:hanging="648"/>
        <w:jc w:val="both"/>
      </w:pPr>
      <w:r>
        <w:rPr>
          <w:b/>
          <w:color w:val="0E1F3A"/>
          <w:sz w:val="21"/>
        </w:rPr>
        <w:t xml:space="preserve">11.  </w:t>
      </w:r>
      <w:r>
        <w:rPr>
          <w:sz w:val="21"/>
        </w:rPr>
        <w:t>If any provision of this Agreement is held to be invalid or unenforceable, the remaining provisions shall continue in full force and effect.</w:t>
      </w:r>
    </w:p>
    <w:p>
      <w:pPr>
        <w:spacing w:after="120" w:line="300" w:lineRule="auto"/>
        <w:ind w:left="648" w:hanging="648"/>
        <w:jc w:val="both"/>
      </w:pPr>
      <w:r>
        <w:rPr>
          <w:b/>
          <w:color w:val="0E1F3A"/>
          <w:sz w:val="21"/>
        </w:rPr>
        <w:t xml:space="preserve">12.  </w:t>
      </w:r>
      <w:r>
        <w:rPr>
          <w:sz w:val="21"/>
        </w:rPr>
        <w:t>This Agreement may be executed in counterparts, including by electronic signature, each of which shall be deemed an original and all of which together shall constitute one and the same instrument.</w:t>
      </w:r>
    </w:p>
    <w:p>
      <w:pPr>
        <w:spacing w:after="120" w:line="300" w:lineRule="auto"/>
        <w:ind w:left="648" w:hanging="648"/>
        <w:jc w:val="both"/>
      </w:pPr>
      <w:r>
        <w:rPr>
          <w:b/>
          <w:color w:val="0E1F3A"/>
          <w:sz w:val="21"/>
        </w:rPr>
        <w:t xml:space="preserve">13.  </w:t>
      </w:r>
      <w:r>
        <w:rPr>
          <w:sz w:val="21"/>
        </w:rPr>
        <w:t>This Agreement shall be governed by and construed in accordance with the laws of [GOVERNING LAW]. Any dispute arising out of or in connection with this Agreement shall be finally resolved by arbitration administered by [ARBITRAL INSTITUTION] under its rules in force at the time of commencement of arbitration; the seat of arbitration shall be [SEAT]; the language shall be English; the tribunal shall consist of one (1) arbitrator unless the dispute exceeds USD 1,000,000, in which case three (3) arbitrators shall be appointed.</w:t>
      </w:r>
    </w:p>
    <w:p>
      <w:pPr>
        <w:spacing w:before="0" w:after="200"/>
      </w:pPr>
    </w:p>
    <w:p>
      <w:pPr>
        <w:spacing w:before="0" w:after="200" w:line="300" w:lineRule="auto"/>
        <w:jc w:val="both"/>
      </w:pPr>
      <w:r>
        <w:rPr>
          <w:rFonts w:ascii="Calibri" w:hAnsi="Calibri"/>
          <w:b w:val="0"/>
          <w:i/>
          <w:sz w:val="21"/>
          <w:u w:val="none"/>
        </w:rPr>
        <w:t>IN WITNESS WHEREOF the Parties have caused this Agreement to be executed by their duly authorised representatives as of the Effective Date.</w:t>
      </w:r>
    </w:p>
    <w:tbl>
      <w:tblPr>
        <w:tblW w:type="auto" w:w="0"/>
        <w:tblLayout w:type="fixed"/>
        <w:tblLook w:firstColumn="1" w:firstRow="1" w:lastColumn="0" w:lastRow="0" w:noHBand="0" w:noVBand="1" w:val="04A0"/>
      </w:tblPr>
      <w:tblGrid>
        <w:gridCol w:w="4513"/>
        <w:gridCol w:w="4513"/>
      </w:tblGrid>
      <w:tr>
        <w:tc>
          <w:tcPr>
            <w:tcW w:type="dxa" w:w="4680"/>
            <w:vAlign w:val="top"/>
          </w:tcPr>
          <w:p>
            <w:pPr>
              <w:spacing w:after="120"/>
            </w:pPr>
            <w:r>
              <w:rPr>
                <w:b/>
                <w:color w:val="0E1F3A"/>
                <w:sz w:val="22"/>
              </w:rPr>
              <w:t>For and on behalf of</w:t>
              <w:br/>
              <w:t>AMERICANS TRADES GROUP LLC</w:t>
            </w:r>
          </w:p>
          <w:p>
            <w:pPr>
              <w:spacing w:after="160"/>
            </w:pPr>
            <w:r>
              <w:rPr>
                <w:b/>
                <w:sz w:val="21"/>
              </w:rPr>
              <w:t xml:space="preserve">By: </w:t>
            </w:r>
            <w:r>
              <w:rPr>
                <w:color w:val="C62828"/>
                <w:sz w:val="21"/>
              </w:rPr>
              <w:t>____________________________</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Date: </w:t>
            </w:r>
            <w:r>
              <w:rPr>
                <w:color w:val="C62828"/>
                <w:sz w:val="21"/>
              </w:rPr>
              <w:t>____________________________</w:t>
            </w:r>
          </w:p>
        </w:tc>
        <w:tc>
          <w:tcPr>
            <w:tcW w:type="dxa" w:w="4680"/>
            <w:vAlign w:val="top"/>
          </w:tcPr>
          <w:p>
            <w:pPr>
              <w:spacing w:after="120"/>
            </w:pPr>
            <w:r>
              <w:rPr>
                <w:b/>
                <w:color w:val="0E1F3A"/>
                <w:sz w:val="22"/>
              </w:rPr>
              <w:t>For and on behalf of</w:t>
              <w:br/>
              <w:t>[SUPPLIER LEGAL NAME]</w:t>
            </w:r>
          </w:p>
          <w:p>
            <w:pPr>
              <w:spacing w:after="160"/>
            </w:pPr>
            <w:r>
              <w:rPr>
                <w:b/>
                <w:sz w:val="21"/>
              </w:rPr>
              <w:t xml:space="preserve">By: </w:t>
            </w:r>
            <w:r>
              <w:rPr>
                <w:color w:val="C62828"/>
                <w:sz w:val="21"/>
              </w:rPr>
              <w:t>____________________________</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Date: </w:t>
            </w:r>
            <w:r>
              <w:rPr>
                <w:color w:val="C62828"/>
                <w:sz w:val="21"/>
              </w:rPr>
              <w:t>____________________________</w:t>
            </w:r>
          </w:p>
        </w:tc>
      </w:tr>
    </w:tbl>
    <w:p>
      <w:pPr>
        <w:spacing w:before="0" w:after="160"/>
      </w:pPr>
    </w:p>
    <w:p>
      <w:pPr>
        <w:spacing w:before="0" w:after="80"/>
        <w:jc w:val="center"/>
      </w:pPr>
      <w:r>
        <w:rPr>
          <w:rFonts w:ascii="Calibri" w:hAnsi="Calibri"/>
          <w:b w:val="0"/>
          <w:i/>
          <w:color w:val="6B7280"/>
          <w:sz w:val="17"/>
          <w:u w:val="none"/>
        </w:rPr>
        <w:t>This is a template document prepared for internal use. It is not legal advice. Engage qualified counsel in the relevant jurisdiction(s) before executing any binding agreement.</w:t>
      </w:r>
    </w:p>
    <w:sectPr w:rsidR="00FC693F" w:rsidRPr="0006063C" w:rsidSect="00034616">
      <w:pgSz w:w="11906" w:h="16838"/>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