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160"/>
        <w:jc w:val="center"/>
      </w:pPr>
      <w:r>
        <w:rPr>
          <w:rFonts w:ascii="Calibri" w:hAnsi="Calibri"/>
          <w:b/>
          <w:i w:val="0"/>
          <w:color w:val="C62828"/>
          <w:sz w:val="18"/>
          <w:u w:val="none"/>
        </w:rPr>
        <w:t>TEMPLATE — FILL FIELDS SHOWN IN RED. REVIEW WITH LEGAL COUNSEL BEFORE EXECUTION.</w:t>
      </w:r>
    </w:p>
    <w:p>
      <w:pPr>
        <w:spacing w:before="0" w:after="40"/>
        <w:jc w:val="center"/>
      </w:pPr>
      <w:r>
        <w:rPr>
          <w:rFonts w:ascii="Calibri" w:hAnsi="Calibri"/>
          <w:b/>
          <w:i w:val="0"/>
          <w:color w:val="0E1F3A"/>
          <w:sz w:val="28"/>
          <w:u w:val="none"/>
        </w:rPr>
        <w:t>AMERICANS TRADES GROUP LLC</w:t>
      </w:r>
    </w:p>
    <w:p>
      <w:pPr>
        <w:spacing w:before="0" w:after="160"/>
        <w:jc w:val="center"/>
      </w:pPr>
      <w:r>
        <w:rPr>
          <w:rFonts w:ascii="Calibri" w:hAnsi="Calibri"/>
          <w:b w:val="0"/>
          <w:i/>
          <w:color w:val="6B7280"/>
          <w:sz w:val="20"/>
          <w:u w:val="none"/>
        </w:rPr>
        <w:t>Tire-Derived Fuel · Surplus Tire Program</w:t>
      </w:r>
    </w:p>
    <w:p>
      <w:pPr>
        <w:spacing w:before="0" w:after="40"/>
        <w:jc w:val="center"/>
      </w:pPr>
      <w:r>
        <w:rPr>
          <w:rFonts w:ascii="Calibri" w:hAnsi="Calibri"/>
          <w:b/>
          <w:i w:val="0"/>
          <w:color w:val="0E1F3A"/>
          <w:sz w:val="36"/>
          <w:u w:val="none"/>
        </w:rPr>
        <w:t>PRODUCT SPECIFICATION SHEET</w:t>
      </w:r>
    </w:p>
    <w:p>
      <w:pPr>
        <w:spacing w:before="0" w:after="80"/>
        <w:jc w:val="center"/>
      </w:pPr>
      <w:r>
        <w:rPr>
          <w:rFonts w:ascii="Calibri" w:hAnsi="Calibri"/>
          <w:b w:val="0"/>
          <w:i/>
          <w:color w:val="6B7280"/>
          <w:sz w:val="20"/>
          <w:u w:val="none"/>
        </w:rPr>
        <w:t>Tyre-Derived Fuel (TDF) for Cement Kiln Co-Processing</w:t>
      </w:r>
    </w:p>
    <w:p>
      <w:pPr>
        <w:spacing w:before="0" w:after="200"/>
        <w:pBdr>
          <w:bottom w:val="single" w:sz="8" w:space="1" w:color="0E1F3A"/>
        </w:pBdr>
      </w:pPr>
    </w:p>
    <w:p>
      <w:pPr>
        <w:spacing w:before="0" w:after="200"/>
      </w:pPr>
      <w:r>
        <w:rPr>
          <w:rFonts w:ascii="Calibri" w:hAnsi="Calibri"/>
          <w:b/>
          <w:i w:val="0"/>
          <w:sz w:val="20"/>
          <w:u w:val="none"/>
        </w:rPr>
        <w:t xml:space="preserve">Document Ref: </w:t>
      </w:r>
      <w:r>
        <w:rPr>
          <w:rFonts w:ascii="Calibri" w:hAnsi="Calibri"/>
          <w:b w:val="0"/>
          <w:i w:val="0"/>
          <w:color w:val="C62828"/>
          <w:sz w:val="20"/>
          <w:u w:val="none"/>
        </w:rPr>
        <w:t>ATG-TDF-SPEC-2026-v1.0</w:t>
      </w:r>
      <w:r>
        <w:rPr>
          <w:rFonts w:ascii="Calibri" w:hAnsi="Calibri"/>
          <w:b/>
          <w:i w:val="0"/>
          <w:sz w:val="20"/>
          <w:u w:val="none"/>
        </w:rPr>
        <w:t xml:space="preserve">    |    Issue Date: </w:t>
      </w:r>
      <w:r>
        <w:rPr>
          <w:rFonts w:ascii="Calibri" w:hAnsi="Calibri"/>
          <w:b w:val="0"/>
          <w:i w:val="0"/>
          <w:color w:val="C62828"/>
          <w:sz w:val="20"/>
          <w:u w:val="none"/>
        </w:rPr>
        <w:t>____ ____________ 2026</w:t>
      </w:r>
      <w:r>
        <w:rPr>
          <w:rFonts w:ascii="Calibri" w:hAnsi="Calibri"/>
          <w:b/>
          <w:i w:val="0"/>
          <w:sz w:val="20"/>
          <w:u w:val="none"/>
        </w:rPr>
        <w:t xml:space="preserve">    |    Supersedes: </w:t>
      </w:r>
      <w:r>
        <w:rPr>
          <w:rFonts w:ascii="Calibri" w:hAnsi="Calibri"/>
          <w:b w:val="0"/>
          <w:i w:val="0"/>
          <w:color w:val="C62828"/>
          <w:sz w:val="20"/>
          <w:u w:val="none"/>
        </w:rPr>
        <w:t>[ — ]</w:t>
      </w:r>
    </w:p>
    <w:p>
      <w:pPr>
        <w:spacing w:before="160" w:after="80"/>
      </w:pPr>
      <w:r>
        <w:rPr>
          <w:rFonts w:ascii="Calibri" w:hAnsi="Calibri"/>
          <w:b/>
          <w:i w:val="0"/>
          <w:color w:val="0E1F3A"/>
          <w:sz w:val="24"/>
          <w:u w:val="none"/>
        </w:rPr>
        <w:t>1..  Product Description</w:t>
      </w:r>
    </w:p>
    <w:p>
      <w:pPr>
        <w:spacing w:before="0" w:after="160" w:line="312" w:lineRule="auto"/>
        <w:jc w:val="both"/>
      </w:pPr>
      <w:r>
        <w:rPr>
          <w:rFonts w:ascii="Calibri" w:hAnsi="Calibri"/>
          <w:b w:val="0"/>
          <w:i w:val="0"/>
          <w:sz w:val="22"/>
          <w:u w:val="none"/>
        </w:rPr>
        <w:t>Used pneumatic tyres (whole or shredded) of rubber, originating from passenger vehicles, light commercial vehicles, heavy goods vehicles, off-the-road and earth-moving applications, intended for co-processing as alternative thermal fuel in cement kilns. Material shall be classified as non-hazardous waste under the Basel Convention, Annex IX, Entry B3140.</w:t>
      </w:r>
    </w:p>
    <w:p>
      <w:pPr>
        <w:spacing w:before="160" w:after="80"/>
      </w:pPr>
      <w:r>
        <w:rPr>
          <w:rFonts w:ascii="Calibri" w:hAnsi="Calibri"/>
          <w:b/>
          <w:i w:val="0"/>
          <w:color w:val="0E1F3A"/>
          <w:sz w:val="24"/>
          <w:u w:val="none"/>
        </w:rPr>
        <w:t>2..  Identification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13"/>
        <w:gridCol w:w="4513"/>
      </w:tblGrid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Trade Name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Tyre-Derived Fuel (TDF)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HS Code / PCT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4012.20.00 — Used pneumatic tyres of rubber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Basel Classification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Annex IX, Entry B3140 (non-hazardous)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UN Number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Not regulated as dangerous goods (UN — n/a)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CAS Number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Mixture (rubber, carbon black, steel cord, textile)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Country of Origin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color w:val="C62828"/>
                <w:sz w:val="21"/>
              </w:rPr>
              <w:t>[Brazil / Chile / Argentina / Peru / Colombia / Uruguay]</w:t>
            </w:r>
          </w:p>
        </w:tc>
      </w:tr>
    </w:tbl>
    <w:p>
      <w:pPr>
        <w:spacing w:before="0" w:after="120"/>
      </w:pPr>
    </w:p>
    <w:p>
      <w:pPr>
        <w:spacing w:before="160" w:after="80"/>
      </w:pPr>
      <w:r>
        <w:rPr>
          <w:rFonts w:ascii="Calibri" w:hAnsi="Calibri"/>
          <w:b/>
          <w:i w:val="0"/>
          <w:color w:val="0E1F3A"/>
          <w:sz w:val="24"/>
          <w:u w:val="none"/>
        </w:rPr>
        <w:t>3..  Physical Form &amp; Sizing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13"/>
        <w:gridCol w:w="4513"/>
      </w:tblGrid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Format A — Whole tyres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Loaded loose into containers; suitable for precalciner injection. Tyres must be free of rims, wheel weights and water.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Format B — Shredded TDF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Mechanically shredded to nominal 50–150 mm chips; suitable for main-burner injection. Maximum 5% (m/m) of chips outside the 50–150 mm range.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Steel content (Format B)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Steel wire content as-is (uncleaned) acceptable, unless cement plant specifies de-wired TDF (subject to separate spec).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Foreign matter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≤ 1% (m/m) of soil, stones, plastics or other non-rubber matter. No free liquids, no asbestos, no radioactive material.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Loading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≈ 22 MT per 40-ft HC (whole) or ≈ 25 MT per 40-ft HC (shredded). Each container photographed before sealing.</w:t>
            </w:r>
          </w:p>
        </w:tc>
      </w:tr>
    </w:tbl>
    <w:p>
      <w:pPr>
        <w:spacing w:before="0" w:after="120"/>
      </w:pPr>
    </w:p>
    <w:p>
      <w:pPr>
        <w:spacing w:before="160" w:after="80"/>
      </w:pPr>
      <w:r>
        <w:rPr>
          <w:rFonts w:ascii="Calibri" w:hAnsi="Calibri"/>
          <w:b/>
          <w:i w:val="0"/>
          <w:color w:val="0E1F3A"/>
          <w:sz w:val="24"/>
          <w:u w:val="none"/>
        </w:rPr>
        <w:t>4..  Quality Parameters (As-Delivered Basis)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13"/>
        <w:gridCol w:w="4513"/>
      </w:tblGrid>
      <w:tr>
        <w:tc>
          <w:tcPr>
            <w:tcW w:type="dxa" w:w="4320"/>
            <w:vAlign w:val="top"/>
            <w:shd w:val="clear" w:color="auto" w:fill="0E1F3A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FFFFFF"/>
                <w:sz w:val="21"/>
              </w:rPr>
              <w:t>Parameter</w:t>
            </w:r>
          </w:p>
        </w:tc>
        <w:tc>
          <w:tcPr>
            <w:tcW w:type="dxa" w:w="5040"/>
            <w:vAlign w:val="top"/>
            <w:shd w:val="clear" w:color="auto" w:fill="0E1F3A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FFFFFF"/>
                <w:sz w:val="21"/>
              </w:rPr>
              <w:t>Specification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Net Calorific Value (NCV / LHV)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28 – 32 MJ/kg (minimum 28 MJ/kg)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Moisture Content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≤ 2.0% (m/m)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Ash Content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≤ 22% (m/m)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Volatile Matter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55 – 65% (m/m)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Fixed Carbon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20 – 30% (m/m)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Total Sulfur (S)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≤ 2.0% (m/m)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Total Chlorine (Cl)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≤ 0.5% (m/m)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Mercury (Hg)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≤ 0.5 mg/kg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Cadmium (Cd)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≤ 5 mg/kg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Lead (Pb)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≤ 200 mg/kg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Chromium (Cr — total)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≤ 200 mg/kg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Bulk Density (whole)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≈ 350 – 450 kg/m³</w:t>
            </w:r>
          </w:p>
        </w:tc>
      </w:tr>
      <w:tr>
        <w:tc>
          <w:tcPr>
            <w:tcW w:type="dxa" w:w="432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Bulk Density (shred)</w:t>
            </w:r>
          </w:p>
        </w:tc>
        <w:tc>
          <w:tcPr>
            <w:tcW w:type="dxa" w:w="5040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≈ 450 – 600 kg/m³</w:t>
            </w:r>
          </w:p>
        </w:tc>
      </w:tr>
    </w:tbl>
    <w:p>
      <w:pPr>
        <w:spacing w:before="0" w:after="80"/>
      </w:pPr>
    </w:p>
    <w:p>
      <w:pPr>
        <w:spacing w:before="0" w:after="160" w:line="300" w:lineRule="auto"/>
        <w:jc w:val="both"/>
      </w:pPr>
      <w:r>
        <w:rPr>
          <w:rFonts w:ascii="Calibri" w:hAnsi="Calibri"/>
          <w:b w:val="0"/>
          <w:i/>
          <w:color w:val="6B7280"/>
          <w:sz w:val="19"/>
          <w:u w:val="none"/>
        </w:rPr>
        <w:t>All values determined on as-delivered basis using the following reference methods (or equivalent): NCV per ASTM D5865 / ISO 1928; Moisture per ASTM D3173 / ISO 11722; Ash per ASTM D3174 / ISO 1171; Sulphur per ASTM D4239 / ISO 19579; Chlorine per ASTM D6721 / ISO 587; metals by ICP-MS / ICP-OES after acid digestion.</w:t>
      </w:r>
    </w:p>
    <w:p>
      <w:pPr>
        <w:spacing w:before="160" w:after="80"/>
      </w:pPr>
      <w:r>
        <w:rPr>
          <w:rFonts w:ascii="Calibri" w:hAnsi="Calibri"/>
          <w:b/>
          <w:i w:val="0"/>
          <w:color w:val="0E1F3A"/>
          <w:sz w:val="24"/>
          <w:u w:val="none"/>
        </w:rPr>
        <w:t>5..  Sampling, Testing &amp; Pre-Shipment Inspection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1.  </w:t>
      </w:r>
      <w:r>
        <w:rPr>
          <w:sz w:val="21"/>
        </w:rPr>
        <w:t>Sampling shall be performed by an internationally recognised independent surveyor (SGS, Bureau Veritas, Intertek, Cotecna or equivalent) at the consolidation yard prior to container stuffing.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2.  </w:t>
      </w:r>
      <w:r>
        <w:rPr>
          <w:sz w:val="21"/>
        </w:rPr>
        <w:t>A composite sample shall be drawn from each lot of up to 200 MT, split into three (3) sealed sub-samples: one for the laboratory, one for the Buyer, one retained by the surveyor for ninety (90) days.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3.  </w:t>
      </w:r>
      <w:r>
        <w:rPr>
          <w:sz w:val="21"/>
        </w:rPr>
        <w:t>A Pre-Shipment Inspection (PSI) Certificate and a Certificate of Analysis (CoA) shall accompany every consignment.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4.  </w:t>
      </w:r>
      <w:r>
        <w:rPr>
          <w:sz w:val="21"/>
        </w:rPr>
        <w:t>The Buyer or its appointed laboratory may, at its discretion, re-test on arrival. In case of variance &gt; 10% on any parameter, the umpire analysis convention shall apply (independent third laboratory mutually agreed, whose result shall be final and binding).</w:t>
      </w:r>
    </w:p>
    <w:p>
      <w:pPr>
        <w:spacing w:before="160" w:after="80"/>
      </w:pPr>
      <w:r>
        <w:rPr>
          <w:rFonts w:ascii="Calibri" w:hAnsi="Calibri"/>
          <w:b/>
          <w:i w:val="0"/>
          <w:color w:val="0E1F3A"/>
          <w:sz w:val="24"/>
          <w:u w:val="none"/>
        </w:rPr>
        <w:t>6..  Packaging, Loading &amp; Documentation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13"/>
        <w:gridCol w:w="4513"/>
      </w:tblGrid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Packaging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Loose stuffing in dry, clean 40-ft High-Cube containers. No bagging or pallets required.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Seals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Bolt seal + cable seal applied at point of stuffing; numbers logged and shared with Buyer prior to vessel sailing.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Photo log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Minimum 8 photos per container: empty, half-loaded, fully loaded, doors closing, both seals affixed.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Vector control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Mandatory written declaration that all material is dry and free of vector-attracting matter (Aedes aegypti / mosquito control).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Phytosanitary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ISPM-15 fumigation certificate required if any wood pallets or dunnage used.</w:t>
            </w:r>
          </w:p>
        </w:tc>
      </w:tr>
      <w:tr>
        <w:tc>
          <w:tcPr>
            <w:tcW w:type="dxa" w:w="3312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b/>
                <w:color w:val="0E1F3A"/>
                <w:sz w:val="21"/>
              </w:rPr>
              <w:t>Documentation set</w:t>
            </w:r>
          </w:p>
        </w:tc>
        <w:tc>
          <w:tcPr>
            <w:tcW w:type="dxa" w:w="6048"/>
            <w:vAlign w:val="top"/>
            <w:tcBorders>
              <w:top w:val="single" w:sz="4" w:color="CCCCCC"/>
              <w:left w:val="single" w:sz="4" w:color="CCCCCC"/>
              <w:bottom w:val="single" w:sz="4" w:color="CCCCCC"/>
              <w:right w:val="single" w:sz="4" w:color="CCCCCC"/>
            </w:tcBorders>
            <w:tcMar>
              <w:top w:w="60" w:type="dxa"/>
              <w:left w:w="90" w:type="dxa"/>
              <w:bottom w:w="60" w:type="dxa"/>
              <w:right w:w="90" w:type="dxa"/>
            </w:tcMar>
          </w:tcPr>
          <w:p>
            <w:pPr>
              <w:spacing w:after="40"/>
            </w:pPr>
            <w:r>
              <w:rPr>
                <w:sz w:val="21"/>
              </w:rPr>
              <w:t>Per shipment: Commercial Invoice, Packing List, BL, Certificate of Origin, Marine Insurance Certificate, PSI Certificate, CoA, Basel Annex IB.</w:t>
            </w:r>
          </w:p>
        </w:tc>
      </w:tr>
    </w:tbl>
    <w:p>
      <w:pPr>
        <w:spacing w:before="0" w:after="120"/>
      </w:pPr>
    </w:p>
    <w:p>
      <w:pPr>
        <w:spacing w:before="160" w:after="80"/>
      </w:pPr>
      <w:r>
        <w:rPr>
          <w:rFonts w:ascii="Calibri" w:hAnsi="Calibri"/>
          <w:b/>
          <w:i w:val="0"/>
          <w:color w:val="0E1F3A"/>
          <w:sz w:val="24"/>
          <w:u w:val="none"/>
        </w:rPr>
        <w:t>7..  Rejection Criteria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1.  </w:t>
      </w:r>
      <w:r>
        <w:rPr>
          <w:sz w:val="21"/>
        </w:rPr>
        <w:t>Moisture &gt; 3.0% on arrival (after deducting transit gain).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2.  </w:t>
      </w:r>
      <w:r>
        <w:rPr>
          <w:sz w:val="21"/>
        </w:rPr>
        <w:t>Net calorific value &lt; 26 MJ/kg on arrival.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3.  </w:t>
      </w:r>
      <w:r>
        <w:rPr>
          <w:sz w:val="21"/>
        </w:rPr>
        <w:t>Chlorine &gt; 0.7% or Sulfur &gt; 2.5% on arrival.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4.  </w:t>
      </w:r>
      <w:r>
        <w:rPr>
          <w:sz w:val="21"/>
        </w:rPr>
        <w:t>Presence of any radioactive, asbestos-containing or hazardous waste material.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5.  </w:t>
      </w:r>
      <w:r>
        <w:rPr>
          <w:sz w:val="21"/>
        </w:rPr>
        <w:t>Foreign matter &gt; 3% (m/m) by weight.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6.  </w:t>
      </w:r>
      <w:r>
        <w:rPr>
          <w:sz w:val="21"/>
        </w:rPr>
        <w:t>Tampered seals or undocumented chain of custody.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7.  </w:t>
      </w:r>
      <w:r>
        <w:rPr>
          <w:sz w:val="21"/>
        </w:rPr>
        <w:t>Material not corresponding to the agreed format (whole vs shred) or outside the agreed sizing tolerance.</w:t>
      </w:r>
    </w:p>
    <w:p>
      <w:pPr>
        <w:spacing w:before="160" w:after="80"/>
      </w:pPr>
      <w:r>
        <w:rPr>
          <w:rFonts w:ascii="Calibri" w:hAnsi="Calibri"/>
          <w:b/>
          <w:i w:val="0"/>
          <w:color w:val="0E1F3A"/>
          <w:sz w:val="24"/>
          <w:u w:val="none"/>
        </w:rPr>
        <w:t>8..  Regulatory References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1.  </w:t>
      </w:r>
      <w:r>
        <w:rPr>
          <w:sz w:val="21"/>
        </w:rPr>
        <w:t>Basel Convention on the Control of Transboundary Movements of Hazardous Wastes and their Disposal (1989), Annex IX entry B3140.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2.  </w:t>
      </w:r>
      <w:r>
        <w:rPr>
          <w:sz w:val="21"/>
        </w:rPr>
        <w:t>Pakistan Environmental Protection Act, 1997 and Hazardous Substances Rules, 2003.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3.  </w:t>
      </w:r>
      <w:r>
        <w:rPr>
          <w:sz w:val="21"/>
        </w:rPr>
        <w:t>Pakistan National Environmental Quality Standards (NEQS) for co-processing emissions.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4.  </w:t>
      </w:r>
      <w:r>
        <w:rPr>
          <w:sz w:val="21"/>
        </w:rPr>
        <w:t>Cement Sustainability Initiative (CSI / GCCA) Guidelines for Co-Processing Fuels and Raw Materials in Cement Manufacturing.</w:t>
      </w:r>
    </w:p>
    <w:p>
      <w:pPr>
        <w:spacing w:after="100" w:line="300" w:lineRule="auto"/>
        <w:ind w:left="648" w:hanging="648"/>
        <w:jc w:val="both"/>
      </w:pPr>
      <w:r>
        <w:rPr>
          <w:b/>
          <w:color w:val="0E1F3A"/>
          <w:sz w:val="21"/>
        </w:rPr>
        <w:t xml:space="preserve">5.  </w:t>
      </w:r>
      <w:r>
        <w:rPr>
          <w:sz w:val="21"/>
        </w:rPr>
        <w:t>ISO 21640:2021 — Solid recovered fuels — Specifications and classes (reference framework for SRF/TDF parameters).</w:t>
      </w:r>
    </w:p>
    <w:p>
      <w:pPr>
        <w:spacing w:before="0" w:after="200"/>
      </w:pPr>
    </w:p>
    <w:p>
      <w:pPr>
        <w:spacing w:before="160" w:after="80"/>
      </w:pPr>
      <w:r>
        <w:rPr>
          <w:rFonts w:ascii="Calibri" w:hAnsi="Calibri"/>
          <w:b/>
          <w:i w:val="0"/>
          <w:color w:val="0E1F3A"/>
          <w:sz w:val="24"/>
          <w:u w:val="none"/>
        </w:rPr>
        <w:t>9..  Approvals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13"/>
        <w:gridCol w:w="4513"/>
      </w:tblGrid>
      <w:tr>
        <w:tc>
          <w:tcPr>
            <w:tcW w:type="dxa" w:w="4680"/>
            <w:vAlign w:val="top"/>
          </w:tcPr>
          <w:p>
            <w:pPr>
              <w:spacing w:after="120"/>
            </w:pPr>
            <w:r>
              <w:rPr>
                <w:b/>
                <w:color w:val="0E1F3A"/>
                <w:sz w:val="22"/>
              </w:rPr>
              <w:t>Buyer:</w:t>
              <w:br/>
              <w:t>AMERICANS TRADES GROUP LLC</w:t>
            </w:r>
          </w:p>
          <w:p>
            <w:pPr>
              <w:spacing w:after="160"/>
            </w:pPr>
            <w:r>
              <w:rPr>
                <w:b/>
                <w:sz w:val="21"/>
              </w:rPr>
              <w:t xml:space="preserve">By: </w:t>
            </w:r>
            <w:r>
              <w:rPr>
                <w:color w:val="C62828"/>
                <w:sz w:val="21"/>
              </w:rPr>
              <w:t>____________________________</w:t>
            </w:r>
          </w:p>
          <w:p>
            <w:pPr>
              <w:spacing w:after="160"/>
            </w:pPr>
            <w:r>
              <w:rPr>
                <w:b/>
                <w:sz w:val="21"/>
              </w:rPr>
              <w:t xml:space="preserve">Name: </w:t>
            </w:r>
            <w:r>
              <w:rPr>
                <w:color w:val="C62828"/>
                <w:sz w:val="21"/>
              </w:rPr>
              <w:t>____________________________</w:t>
            </w:r>
          </w:p>
          <w:p>
            <w:pPr>
              <w:spacing w:after="160"/>
            </w:pPr>
            <w:r>
              <w:rPr>
                <w:b/>
                <w:sz w:val="21"/>
              </w:rPr>
              <w:t xml:space="preserve">Title: </w:t>
            </w:r>
            <w:r>
              <w:rPr>
                <w:color w:val="C62828"/>
                <w:sz w:val="21"/>
              </w:rPr>
              <w:t>____________________________</w:t>
            </w:r>
          </w:p>
          <w:p>
            <w:pPr>
              <w:spacing w:after="160"/>
            </w:pPr>
            <w:r>
              <w:rPr>
                <w:b/>
                <w:sz w:val="21"/>
              </w:rPr>
              <w:t xml:space="preserve">Date: </w:t>
            </w:r>
            <w:r>
              <w:rPr>
                <w:color w:val="C62828"/>
                <w:sz w:val="21"/>
              </w:rPr>
              <w:t>____________________________</w:t>
            </w:r>
          </w:p>
        </w:tc>
        <w:tc>
          <w:tcPr>
            <w:tcW w:type="dxa" w:w="4680"/>
            <w:vAlign w:val="top"/>
          </w:tcPr>
          <w:p>
            <w:pPr>
              <w:spacing w:after="120"/>
            </w:pPr>
            <w:r>
              <w:rPr>
                <w:b/>
                <w:color w:val="0E1F3A"/>
                <w:sz w:val="22"/>
              </w:rPr>
              <w:t>Supplier:</w:t>
              <w:br/>
              <w:t>[SUPPLIER LEGAL NAME]</w:t>
            </w:r>
          </w:p>
          <w:p>
            <w:pPr>
              <w:spacing w:after="160"/>
            </w:pPr>
            <w:r>
              <w:rPr>
                <w:b/>
                <w:sz w:val="21"/>
              </w:rPr>
              <w:t xml:space="preserve">By: </w:t>
            </w:r>
            <w:r>
              <w:rPr>
                <w:color w:val="C62828"/>
                <w:sz w:val="21"/>
              </w:rPr>
              <w:t>____________________________</w:t>
            </w:r>
          </w:p>
          <w:p>
            <w:pPr>
              <w:spacing w:after="160"/>
            </w:pPr>
            <w:r>
              <w:rPr>
                <w:b/>
                <w:sz w:val="21"/>
              </w:rPr>
              <w:t xml:space="preserve">Name: </w:t>
            </w:r>
            <w:r>
              <w:rPr>
                <w:color w:val="C62828"/>
                <w:sz w:val="21"/>
              </w:rPr>
              <w:t>____________________________</w:t>
            </w:r>
          </w:p>
          <w:p>
            <w:pPr>
              <w:spacing w:after="160"/>
            </w:pPr>
            <w:r>
              <w:rPr>
                <w:b/>
                <w:sz w:val="21"/>
              </w:rPr>
              <w:t xml:space="preserve">Title: </w:t>
            </w:r>
            <w:r>
              <w:rPr>
                <w:color w:val="C62828"/>
                <w:sz w:val="21"/>
              </w:rPr>
              <w:t>____________________________</w:t>
            </w:r>
          </w:p>
          <w:p>
            <w:pPr>
              <w:spacing w:after="160"/>
            </w:pPr>
            <w:r>
              <w:rPr>
                <w:b/>
                <w:sz w:val="21"/>
              </w:rPr>
              <w:t xml:space="preserve">Date: </w:t>
            </w:r>
            <w:r>
              <w:rPr>
                <w:color w:val="C62828"/>
                <w:sz w:val="21"/>
              </w:rPr>
              <w:t>____________________________</w:t>
            </w:r>
          </w:p>
        </w:tc>
      </w:tr>
    </w:tbl>
    <w:p>
      <w:pPr>
        <w:spacing w:before="0" w:after="160"/>
      </w:pPr>
    </w:p>
    <w:p>
      <w:pPr>
        <w:spacing w:before="0" w:after="80"/>
        <w:jc w:val="center"/>
      </w:pPr>
      <w:r>
        <w:rPr>
          <w:rFonts w:ascii="Calibri" w:hAnsi="Calibri"/>
          <w:b w:val="0"/>
          <w:i/>
          <w:color w:val="6B7280"/>
          <w:sz w:val="17"/>
          <w:u w:val="none"/>
        </w:rPr>
        <w:t>This is a template document prepared for internal use. It is not legal advice. Engage qualified counsel in the relevant jurisdiction(s) before executing any binding agreement.</w:t>
      </w:r>
    </w:p>
    <w:sectPr w:rsidR="00FC693F" w:rsidRPr="0006063C" w:rsidSect="00034616">
      <w:pgSz w:w="11906" w:h="16838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