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160"/>
        <w:jc w:val="center"/>
      </w:pPr>
      <w:r>
        <w:rPr>
          <w:rFonts w:ascii="Calibri" w:hAnsi="Calibri"/>
          <w:b/>
          <w:i w:val="0"/>
          <w:color w:val="C62828"/>
          <w:sz w:val="18"/>
          <w:u w:val="none"/>
        </w:rPr>
        <w:t>TEMPLATE — FILL FIELDS SHOWN IN RED. REVIEW WITH LEGAL COUNSEL BEFORE EXECUTION.</w:t>
      </w:r>
    </w:p>
    <w:p>
      <w:pPr>
        <w:spacing w:before="0" w:after="40"/>
        <w:jc w:val="center"/>
      </w:pPr>
      <w:r>
        <w:rPr>
          <w:rFonts w:ascii="Calibri" w:hAnsi="Calibri"/>
          <w:b/>
          <w:i w:val="0"/>
          <w:color w:val="0E1F3A"/>
          <w:sz w:val="28"/>
          <w:u w:val="none"/>
        </w:rPr>
        <w:t>AMERICANS TRADES GROUP LLC</w:t>
      </w:r>
    </w:p>
    <w:p>
      <w:pPr>
        <w:spacing w:before="0" w:after="160"/>
        <w:jc w:val="center"/>
      </w:pPr>
      <w:r>
        <w:rPr>
          <w:rFonts w:ascii="Calibri" w:hAnsi="Calibri"/>
          <w:b w:val="0"/>
          <w:i/>
          <w:color w:val="6B7280"/>
          <w:sz w:val="20"/>
          <w:u w:val="none"/>
        </w:rPr>
        <w:t>Tire-Derived Fuel · Surplus Tire Program</w:t>
      </w:r>
    </w:p>
    <w:p>
      <w:pPr>
        <w:spacing w:before="0" w:after="40"/>
        <w:jc w:val="center"/>
      </w:pPr>
      <w:r>
        <w:rPr>
          <w:rFonts w:ascii="Calibri" w:hAnsi="Calibri"/>
          <w:b/>
          <w:i w:val="0"/>
          <w:color w:val="0E1F3A"/>
          <w:sz w:val="36"/>
          <w:u w:val="none"/>
        </w:rPr>
        <w:t>SUPPLY &amp; PURCHASE AGREEMENT</w:t>
      </w:r>
    </w:p>
    <w:p>
      <w:pPr>
        <w:spacing w:before="0" w:after="80"/>
        <w:jc w:val="center"/>
      </w:pPr>
      <w:r>
        <w:rPr>
          <w:rFonts w:ascii="Calibri" w:hAnsi="Calibri"/>
          <w:b w:val="0"/>
          <w:i/>
          <w:color w:val="6B7280"/>
          <w:sz w:val="20"/>
          <w:u w:val="none"/>
        </w:rPr>
        <w:t>Used Pneumatic Tyres / Tyre-Derived Fuel (TDF)</w:t>
      </w:r>
    </w:p>
    <w:p>
      <w:pPr>
        <w:spacing w:before="0" w:after="200"/>
        <w:pBdr>
          <w:bottom w:val="single" w:sz="8" w:space="1" w:color="0E1F3A"/>
        </w:pBdr>
      </w:pPr>
    </w:p>
    <w:p>
      <w:pPr>
        <w:spacing w:before="0" w:after="160" w:line="312" w:lineRule="auto"/>
        <w:jc w:val="both"/>
      </w:pPr>
      <w:r>
        <w:rPr>
          <w:rFonts w:ascii="Calibri" w:hAnsi="Calibri"/>
          <w:b w:val="0"/>
          <w:i w:val="0"/>
          <w:sz w:val="22"/>
          <w:u w:val="none"/>
        </w:rPr>
        <w:t xml:space="preserve">This Supply &amp; Purchase Agreement (the “Agreement”) is entered into on </w:t>
      </w:r>
      <w:r>
        <w:rPr>
          <w:rFonts w:ascii="Calibri" w:hAnsi="Calibri"/>
          <w:b w:val="0"/>
          <w:i w:val="0"/>
          <w:color w:val="C62828"/>
          <w:sz w:val="22"/>
          <w:u w:val="none"/>
        </w:rPr>
        <w:t>____ ____________ 2026</w:t>
      </w:r>
      <w:r>
        <w:rPr>
          <w:rFonts w:ascii="Calibri" w:hAnsi="Calibri"/>
          <w:b w:val="0"/>
          <w:i w:val="0"/>
          <w:sz w:val="22"/>
          <w:u w:val="none"/>
        </w:rPr>
        <w:t xml:space="preserve"> (the “Effective Date”) by and between:</w:t>
      </w:r>
    </w:p>
    <w:p>
      <w:pPr>
        <w:spacing w:before="0" w:after="40"/>
      </w:pPr>
      <w:r>
        <w:rPr>
          <w:rFonts w:ascii="Calibri" w:hAnsi="Calibri"/>
          <w:b/>
          <w:i w:val="0"/>
          <w:color w:val="0E1F3A"/>
          <w:sz w:val="22"/>
          <w:u w:val="none"/>
        </w:rPr>
        <w:t>(1)  AMERICANS TRADES GROUP LLC</w:t>
      </w:r>
    </w:p>
    <w:p>
      <w:pPr>
        <w:spacing w:before="0" w:after="160" w:line="312" w:lineRule="auto"/>
        <w:jc w:val="both"/>
      </w:pPr>
      <w:r>
        <w:rPr>
          <w:rFonts w:ascii="Calibri" w:hAnsi="Calibri"/>
          <w:b w:val="0"/>
          <w:i w:val="0"/>
          <w:sz w:val="22"/>
          <w:u w:val="none"/>
        </w:rPr>
        <w:t xml:space="preserve">a limited liability company organised under the laws of </w:t>
      </w:r>
      <w:r>
        <w:rPr>
          <w:rFonts w:ascii="Calibri" w:hAnsi="Calibri"/>
          <w:b w:val="0"/>
          <w:i w:val="0"/>
          <w:color w:val="C62828"/>
          <w:sz w:val="22"/>
          <w:u w:val="none"/>
        </w:rPr>
        <w:t>[STATE / COUNTRY]</w:t>
      </w:r>
      <w:r>
        <w:rPr>
          <w:rFonts w:ascii="Calibri" w:hAnsi="Calibri"/>
          <w:b w:val="0"/>
          <w:i w:val="0"/>
          <w:sz w:val="22"/>
          <w:u w:val="none"/>
        </w:rPr>
        <w:t xml:space="preserve">, with its registered office at </w:t>
      </w:r>
      <w:r>
        <w:rPr>
          <w:rFonts w:ascii="Calibri" w:hAnsi="Calibri"/>
          <w:b w:val="0"/>
          <w:i w:val="0"/>
          <w:color w:val="C62828"/>
          <w:sz w:val="22"/>
          <w:u w:val="none"/>
        </w:rPr>
        <w:t>[REGISTERED ADDRESS]</w:t>
      </w:r>
      <w:r>
        <w:rPr>
          <w:rFonts w:ascii="Calibri" w:hAnsi="Calibri"/>
          <w:b w:val="0"/>
          <w:i w:val="0"/>
          <w:sz w:val="22"/>
          <w:u w:val="none"/>
        </w:rPr>
        <w:t xml:space="preserve"> (the “</w:t>
      </w:r>
      <w:r>
        <w:rPr>
          <w:rFonts w:ascii="Calibri" w:hAnsi="Calibri"/>
          <w:b/>
          <w:i w:val="0"/>
          <w:sz w:val="22"/>
          <w:u w:val="none"/>
        </w:rPr>
        <w:t>Buyer</w:t>
      </w:r>
      <w:r>
        <w:rPr>
          <w:rFonts w:ascii="Calibri" w:hAnsi="Calibri"/>
          <w:b w:val="0"/>
          <w:i w:val="0"/>
          <w:sz w:val="22"/>
          <w:u w:val="none"/>
        </w:rPr>
        <w:t>”); and</w:t>
      </w:r>
    </w:p>
    <w:p>
      <w:pPr>
        <w:spacing w:before="0" w:after="40"/>
      </w:pPr>
      <w:r>
        <w:rPr>
          <w:rFonts w:ascii="Calibri" w:hAnsi="Calibri"/>
          <w:b/>
          <w:i w:val="0"/>
          <w:color w:val="C62828"/>
          <w:sz w:val="22"/>
          <w:u w:val="none"/>
        </w:rPr>
        <w:t>(2)  [SUPPLIER LEGAL NAME]</w:t>
      </w:r>
    </w:p>
    <w:p>
      <w:pPr>
        <w:spacing w:before="0" w:after="160" w:line="312" w:lineRule="auto"/>
        <w:jc w:val="both"/>
      </w:pPr>
      <w:r>
        <w:rPr>
          <w:rFonts w:ascii="Calibri" w:hAnsi="Calibri"/>
          <w:b w:val="0"/>
          <w:i w:val="0"/>
          <w:sz w:val="22"/>
          <w:u w:val="none"/>
        </w:rPr>
        <w:t xml:space="preserve">a company organised under the laws of </w:t>
      </w:r>
      <w:r>
        <w:rPr>
          <w:rFonts w:ascii="Calibri" w:hAnsi="Calibri"/>
          <w:b w:val="0"/>
          <w:i w:val="0"/>
          <w:color w:val="C62828"/>
          <w:sz w:val="22"/>
          <w:u w:val="none"/>
        </w:rPr>
        <w:t>[COUNTRY]</w:t>
      </w:r>
      <w:r>
        <w:rPr>
          <w:rFonts w:ascii="Calibri" w:hAnsi="Calibri"/>
          <w:b w:val="0"/>
          <w:i w:val="0"/>
          <w:sz w:val="22"/>
          <w:u w:val="none"/>
        </w:rPr>
        <w:t xml:space="preserve">, with its registered office at </w:t>
      </w:r>
      <w:r>
        <w:rPr>
          <w:rFonts w:ascii="Calibri" w:hAnsi="Calibri"/>
          <w:b w:val="0"/>
          <w:i w:val="0"/>
          <w:color w:val="C62828"/>
          <w:sz w:val="22"/>
          <w:u w:val="none"/>
        </w:rPr>
        <w:t>[REGISTERED ADDRESS]</w:t>
      </w:r>
      <w:r>
        <w:rPr>
          <w:rFonts w:ascii="Calibri" w:hAnsi="Calibri"/>
          <w:b w:val="0"/>
          <w:i w:val="0"/>
          <w:sz w:val="22"/>
          <w:u w:val="none"/>
        </w:rPr>
        <w:t xml:space="preserve"> (the “</w:t>
      </w:r>
      <w:r>
        <w:rPr>
          <w:rFonts w:ascii="Calibri" w:hAnsi="Calibri"/>
          <w:b/>
          <w:i w:val="0"/>
          <w:sz w:val="22"/>
          <w:u w:val="none"/>
        </w:rPr>
        <w:t>Supplier</w:t>
      </w:r>
      <w:r>
        <w:rPr>
          <w:rFonts w:ascii="Calibri" w:hAnsi="Calibri"/>
          <w:b w:val="0"/>
          <w:i w:val="0"/>
          <w:sz w:val="22"/>
          <w:u w:val="none"/>
        </w:rPr>
        <w:t>”),</w:t>
      </w:r>
    </w:p>
    <w:p>
      <w:pPr>
        <w:spacing w:before="0" w:after="200"/>
        <w:jc w:val="both"/>
      </w:pPr>
      <w:r>
        <w:rPr>
          <w:rFonts w:ascii="Calibri" w:hAnsi="Calibri"/>
          <w:b w:val="0"/>
          <w:i w:val="0"/>
          <w:sz w:val="22"/>
          <w:u w:val="none"/>
        </w:rPr>
        <w:t>each a “</w:t>
      </w:r>
      <w:r>
        <w:rPr>
          <w:rFonts w:ascii="Calibri" w:hAnsi="Calibri"/>
          <w:b/>
          <w:i w:val="0"/>
          <w:sz w:val="22"/>
          <w:u w:val="none"/>
        </w:rPr>
        <w:t>Party</w:t>
      </w:r>
      <w:r>
        <w:rPr>
          <w:rFonts w:ascii="Calibri" w:hAnsi="Calibri"/>
          <w:b w:val="0"/>
          <w:i w:val="0"/>
          <w:sz w:val="22"/>
          <w:u w:val="none"/>
        </w:rPr>
        <w:t>” and together the “</w:t>
      </w:r>
      <w:r>
        <w:rPr>
          <w:rFonts w:ascii="Calibri" w:hAnsi="Calibri"/>
          <w:b/>
          <w:i w:val="0"/>
          <w:sz w:val="22"/>
          <w:u w:val="none"/>
        </w:rPr>
        <w:t>Parties</w:t>
      </w:r>
      <w:r>
        <w:rPr>
          <w:rFonts w:ascii="Calibri" w:hAnsi="Calibri"/>
          <w:b w:val="0"/>
          <w:i w:val="0"/>
          <w:sz w:val="22"/>
          <w:u w:val="none"/>
        </w:rPr>
        <w:t>”.</w:t>
      </w:r>
    </w:p>
    <w:p>
      <w:pPr>
        <w:spacing w:before="160" w:after="80"/>
      </w:pPr>
      <w:r>
        <w:rPr>
          <w:rFonts w:ascii="Calibri" w:hAnsi="Calibri"/>
          <w:b/>
          <w:i w:val="0"/>
          <w:color w:val="0E1F3A"/>
          <w:sz w:val="24"/>
          <w:u w:val="none"/>
        </w:rPr>
        <w:t>Recitals</w:t>
      </w:r>
    </w:p>
    <w:p>
      <w:pPr>
        <w:spacing w:before="0" w:after="80" w:line="312" w:lineRule="auto"/>
        <w:jc w:val="both"/>
      </w:pPr>
      <w:r>
        <w:rPr>
          <w:rFonts w:ascii="Calibri" w:hAnsi="Calibri"/>
          <w:b w:val="0"/>
          <w:i w:val="0"/>
          <w:sz w:val="22"/>
          <w:u w:val="none"/>
        </w:rPr>
        <w:t>(A)  The Buyer is engaged in the international trade of secondary raw materials and alternative fuels, including used pneumatic tyres and tyre-derived fuel (“TDF”), for delivery to cement plants in the Islamic Republic of Pakistan.</w:t>
      </w:r>
    </w:p>
    <w:p>
      <w:pPr>
        <w:spacing w:before="0" w:after="80" w:line="312" w:lineRule="auto"/>
        <w:jc w:val="both"/>
      </w:pPr>
      <w:r>
        <w:rPr>
          <w:rFonts w:ascii="Calibri" w:hAnsi="Calibri"/>
          <w:b w:val="0"/>
          <w:i w:val="0"/>
          <w:sz w:val="22"/>
          <w:u w:val="none"/>
        </w:rPr>
        <w:t>(B)  The Supplier carries on the business of collection, consolidation and export of used tyres / TDF and warrants that it owns or has full title to the Product to be supplied hereunder.</w:t>
      </w:r>
    </w:p>
    <w:p>
      <w:pPr>
        <w:spacing w:before="0" w:after="80" w:line="312" w:lineRule="auto"/>
        <w:jc w:val="both"/>
      </w:pPr>
      <w:r>
        <w:rPr>
          <w:rFonts w:ascii="Calibri" w:hAnsi="Calibri"/>
          <w:b w:val="0"/>
          <w:i w:val="0"/>
          <w:sz w:val="22"/>
          <w:u w:val="none"/>
        </w:rPr>
        <w:t>(C)  The Parties have entered into a Mutual Non-Disclosure Agreement and a Letter of Intent prior to the date hereof and now wish to record the binding terms of their commercial relationship.</w:t>
      </w:r>
    </w:p>
    <w:p>
      <w:pPr>
        <w:spacing w:before="0" w:after="160"/>
      </w:pPr>
      <w:r>
        <w:rPr>
          <w:rFonts w:ascii="Calibri" w:hAnsi="Calibri"/>
          <w:b/>
          <w:i w:val="0"/>
          <w:sz w:val="22"/>
          <w:u w:val="none"/>
        </w:rPr>
        <w:t>Now, therefore, the Parties agree as follows:</w:t>
      </w:r>
    </w:p>
    <w:p>
      <w:pPr>
        <w:spacing w:before="160" w:after="80"/>
      </w:pPr>
      <w:r>
        <w:rPr>
          <w:rFonts w:ascii="Calibri" w:hAnsi="Calibri"/>
          <w:b/>
          <w:i w:val="0"/>
          <w:color w:val="0E1F3A"/>
          <w:sz w:val="24"/>
          <w:u w:val="none"/>
        </w:rPr>
        <w:t>1..  Definitions and Interpretation</w:t>
      </w:r>
    </w:p>
    <w:p>
      <w:pPr>
        <w:spacing w:after="80" w:line="300" w:lineRule="auto"/>
        <w:ind w:left="648" w:hanging="648"/>
        <w:jc w:val="both"/>
      </w:pPr>
      <w:r>
        <w:rPr>
          <w:b/>
          <w:color w:val="0E1F3A"/>
          <w:sz w:val="21"/>
        </w:rPr>
        <w:t xml:space="preserve">1.  </w:t>
      </w:r>
      <w:r>
        <w:rPr>
          <w:sz w:val="21"/>
        </w:rPr>
        <w:t>“Affiliate” means, in relation to a Party, any entity which directly or indirectly controls, is controlled by, or is under common control with that Party.</w:t>
      </w:r>
    </w:p>
    <w:p>
      <w:pPr>
        <w:spacing w:after="80" w:line="300" w:lineRule="auto"/>
        <w:ind w:left="648" w:hanging="648"/>
        <w:jc w:val="both"/>
      </w:pPr>
      <w:r>
        <w:rPr>
          <w:b/>
          <w:color w:val="0E1F3A"/>
          <w:sz w:val="21"/>
        </w:rPr>
        <w:t xml:space="preserve">2.  </w:t>
      </w:r>
      <w:r>
        <w:rPr>
          <w:sz w:val="21"/>
        </w:rPr>
        <w:t>“Basel Convention” means the Basel Convention on the Control of Transboundary Movements of Hazardous Wastes and their Disposal (1989), as amended.</w:t>
      </w:r>
    </w:p>
    <w:p>
      <w:pPr>
        <w:spacing w:after="80" w:line="300" w:lineRule="auto"/>
        <w:ind w:left="648" w:hanging="648"/>
        <w:jc w:val="both"/>
      </w:pPr>
      <w:r>
        <w:rPr>
          <w:b/>
          <w:color w:val="0E1F3A"/>
          <w:sz w:val="21"/>
        </w:rPr>
        <w:t xml:space="preserve">3.  </w:t>
      </w:r>
      <w:r>
        <w:rPr>
          <w:sz w:val="21"/>
        </w:rPr>
        <w:t>“BL” means the ocean Bill of Lading issued by the carrier in respect of a Shipment.</w:t>
      </w:r>
    </w:p>
    <w:p>
      <w:pPr>
        <w:spacing w:after="80" w:line="300" w:lineRule="auto"/>
        <w:ind w:left="648" w:hanging="648"/>
        <w:jc w:val="both"/>
      </w:pPr>
      <w:r>
        <w:rPr>
          <w:b/>
          <w:color w:val="0E1F3A"/>
          <w:sz w:val="21"/>
        </w:rPr>
        <w:t xml:space="preserve">4.  </w:t>
      </w:r>
      <w:r>
        <w:rPr>
          <w:sz w:val="21"/>
        </w:rPr>
        <w:t>“Business Day” means a day other than a Saturday, Sunday or public holiday in the Buyer’s and Supplier’s respective jurisdictions.</w:t>
      </w:r>
    </w:p>
    <w:p>
      <w:pPr>
        <w:spacing w:after="80" w:line="300" w:lineRule="auto"/>
        <w:ind w:left="648" w:hanging="648"/>
        <w:jc w:val="both"/>
      </w:pPr>
      <w:r>
        <w:rPr>
          <w:b/>
          <w:color w:val="0E1F3A"/>
          <w:sz w:val="21"/>
        </w:rPr>
        <w:t xml:space="preserve">5.  </w:t>
      </w:r>
      <w:r>
        <w:rPr>
          <w:sz w:val="21"/>
        </w:rPr>
        <w:t>“Cement Plant” means the end-use cement manufacturing facility in Pakistan to which the Product shall be co-processed.</w:t>
      </w:r>
    </w:p>
    <w:p>
      <w:pPr>
        <w:spacing w:after="80" w:line="300" w:lineRule="auto"/>
        <w:ind w:left="648" w:hanging="648"/>
        <w:jc w:val="both"/>
      </w:pPr>
      <w:r>
        <w:rPr>
          <w:b/>
          <w:color w:val="0E1F3A"/>
          <w:sz w:val="21"/>
        </w:rPr>
        <w:t xml:space="preserve">6.  </w:t>
      </w:r>
      <w:r>
        <w:rPr>
          <w:sz w:val="21"/>
        </w:rPr>
        <w:t>“CoA” means a Certificate of Analysis issued by an accredited independent laboratory.</w:t>
      </w:r>
    </w:p>
    <w:p>
      <w:pPr>
        <w:spacing w:after="80" w:line="300" w:lineRule="auto"/>
        <w:ind w:left="648" w:hanging="648"/>
        <w:jc w:val="both"/>
      </w:pPr>
      <w:r>
        <w:rPr>
          <w:b/>
          <w:color w:val="0E1F3A"/>
          <w:sz w:val="21"/>
        </w:rPr>
        <w:t xml:space="preserve">7.  </w:t>
      </w:r>
      <w:r>
        <w:rPr>
          <w:sz w:val="21"/>
        </w:rPr>
        <w:t>“Incoterms” means Incoterms® 2020 published by the International Chamber of Commerce.</w:t>
      </w:r>
    </w:p>
    <w:p>
      <w:pPr>
        <w:spacing w:after="80" w:line="300" w:lineRule="auto"/>
        <w:ind w:left="648" w:hanging="648"/>
        <w:jc w:val="both"/>
      </w:pPr>
      <w:r>
        <w:rPr>
          <w:b/>
          <w:color w:val="0E1F3A"/>
          <w:sz w:val="21"/>
        </w:rPr>
        <w:t xml:space="preserve">8.  </w:t>
      </w:r>
      <w:r>
        <w:rPr>
          <w:sz w:val="21"/>
        </w:rPr>
        <w:t>“LOI” means the Letter of Intent dated [____] entered into between the Parties.</w:t>
      </w:r>
    </w:p>
    <w:p>
      <w:pPr>
        <w:spacing w:after="80" w:line="300" w:lineRule="auto"/>
        <w:ind w:left="648" w:hanging="648"/>
        <w:jc w:val="both"/>
      </w:pPr>
      <w:r>
        <w:rPr>
          <w:b/>
          <w:color w:val="0E1F3A"/>
          <w:sz w:val="21"/>
        </w:rPr>
        <w:t xml:space="preserve">9.  </w:t>
      </w:r>
      <w:r>
        <w:rPr>
          <w:sz w:val="21"/>
        </w:rPr>
        <w:t>“NCV” means Net Calorific Value (lower heating value) expressed in MJ/kg.</w:t>
      </w:r>
    </w:p>
    <w:p>
      <w:pPr>
        <w:spacing w:after="80" w:line="300" w:lineRule="auto"/>
        <w:ind w:left="648" w:hanging="648"/>
        <w:jc w:val="both"/>
      </w:pPr>
      <w:r>
        <w:rPr>
          <w:b/>
          <w:color w:val="0E1F3A"/>
          <w:sz w:val="21"/>
        </w:rPr>
        <w:t xml:space="preserve">10.  </w:t>
      </w:r>
      <w:r>
        <w:rPr>
          <w:sz w:val="21"/>
        </w:rPr>
        <w:t>“NDA” means the Mutual Non-Disclosure Agreement dated [____] entered into between the Parties.</w:t>
      </w:r>
    </w:p>
    <w:p>
      <w:pPr>
        <w:spacing w:after="80" w:line="300" w:lineRule="auto"/>
        <w:ind w:left="648" w:hanging="648"/>
        <w:jc w:val="both"/>
      </w:pPr>
      <w:r>
        <w:rPr>
          <w:b/>
          <w:color w:val="0E1F3A"/>
          <w:sz w:val="21"/>
        </w:rPr>
        <w:t xml:space="preserve">11.  </w:t>
      </w:r>
      <w:r>
        <w:rPr>
          <w:sz w:val="21"/>
        </w:rPr>
        <w:t>“Product” means used pneumatic tyres and / or shredded TDF conforming to the Specification.</w:t>
      </w:r>
    </w:p>
    <w:p>
      <w:pPr>
        <w:spacing w:after="80" w:line="300" w:lineRule="auto"/>
        <w:ind w:left="648" w:hanging="648"/>
        <w:jc w:val="both"/>
      </w:pPr>
      <w:r>
        <w:rPr>
          <w:b/>
          <w:color w:val="0E1F3A"/>
          <w:sz w:val="21"/>
        </w:rPr>
        <w:t xml:space="preserve">12.  </w:t>
      </w:r>
      <w:r>
        <w:rPr>
          <w:sz w:val="21"/>
        </w:rPr>
        <w:t>“PSI” means Pre-Shipment Inspection.</w:t>
      </w:r>
    </w:p>
    <w:p>
      <w:pPr>
        <w:spacing w:after="80" w:line="300" w:lineRule="auto"/>
        <w:ind w:left="648" w:hanging="648"/>
        <w:jc w:val="both"/>
      </w:pPr>
      <w:r>
        <w:rPr>
          <w:b/>
          <w:color w:val="0E1F3A"/>
          <w:sz w:val="21"/>
        </w:rPr>
        <w:t xml:space="preserve">13.  </w:t>
      </w:r>
      <w:r>
        <w:rPr>
          <w:sz w:val="21"/>
        </w:rPr>
        <w:t>“Shipment” means a single delivery of Product loaded on board one (1) ocean vessel under one (1) Bill of Lading.</w:t>
      </w:r>
    </w:p>
    <w:p>
      <w:pPr>
        <w:spacing w:after="80" w:line="300" w:lineRule="auto"/>
        <w:ind w:left="648" w:hanging="648"/>
        <w:jc w:val="both"/>
      </w:pPr>
      <w:r>
        <w:rPr>
          <w:b/>
          <w:color w:val="0E1F3A"/>
          <w:sz w:val="21"/>
        </w:rPr>
        <w:t xml:space="preserve">14.  </w:t>
      </w:r>
      <w:r>
        <w:rPr>
          <w:sz w:val="21"/>
        </w:rPr>
        <w:t>“Specification” means the TDF Specification Sheet attached hereto as Schedule 1, as may be amended in writing by mutual agreement.</w:t>
      </w:r>
    </w:p>
    <w:p>
      <w:pPr>
        <w:spacing w:after="80" w:line="300" w:lineRule="auto"/>
        <w:ind w:left="648" w:hanging="648"/>
        <w:jc w:val="both"/>
      </w:pPr>
      <w:r>
        <w:rPr>
          <w:b/>
          <w:color w:val="0E1F3A"/>
          <w:sz w:val="21"/>
        </w:rPr>
        <w:t xml:space="preserve">15.  </w:t>
      </w:r>
      <w:r>
        <w:rPr>
          <w:sz w:val="21"/>
        </w:rPr>
        <w:t>“USD” means United States Dollars, the lawful currency of the United States of America.</w:t>
      </w:r>
    </w:p>
    <w:p>
      <w:pPr>
        <w:spacing w:before="160" w:after="80"/>
      </w:pPr>
      <w:r>
        <w:rPr>
          <w:rFonts w:ascii="Calibri" w:hAnsi="Calibri"/>
          <w:b/>
          <w:i w:val="0"/>
          <w:color w:val="0E1F3A"/>
          <w:sz w:val="24"/>
          <w:u w:val="none"/>
        </w:rPr>
        <w:t>2..  Sale and Purchase</w:t>
      </w:r>
    </w:p>
    <w:p>
      <w:pPr>
        <w:spacing w:after="100" w:line="300" w:lineRule="auto"/>
        <w:ind w:left="648" w:hanging="648"/>
        <w:jc w:val="both"/>
      </w:pPr>
      <w:r>
        <w:rPr>
          <w:b/>
          <w:color w:val="0E1F3A"/>
          <w:sz w:val="21"/>
        </w:rPr>
        <w:t xml:space="preserve">1.  </w:t>
      </w:r>
      <w:r>
        <w:rPr>
          <w:sz w:val="21"/>
        </w:rPr>
        <w:t>Subject to the terms and conditions of this Agreement, the Supplier agrees to sell and deliver to the Buyer, and the Buyer agrees to purchase and take delivery from the Supplier, the Product in the quantities and at the times specified in Schedule 2 (Quantity &amp; Delivery Schedule).</w:t>
      </w:r>
    </w:p>
    <w:p>
      <w:pPr>
        <w:spacing w:after="100" w:line="300" w:lineRule="auto"/>
        <w:ind w:left="648" w:hanging="648"/>
        <w:jc w:val="both"/>
      </w:pPr>
      <w:r>
        <w:rPr>
          <w:b/>
          <w:color w:val="0E1F3A"/>
          <w:sz w:val="21"/>
        </w:rPr>
        <w:t xml:space="preserve">2.  </w:t>
      </w:r>
      <w:r>
        <w:rPr>
          <w:sz w:val="21"/>
        </w:rPr>
        <w:t>All Product supplied shall conform to the Specification set out in Schedule 1. Any tolerance shall be expressly stated therein.</w:t>
      </w:r>
    </w:p>
    <w:p>
      <w:pPr>
        <w:spacing w:after="100" w:line="300" w:lineRule="auto"/>
        <w:ind w:left="648" w:hanging="648"/>
        <w:jc w:val="both"/>
      </w:pPr>
      <w:r>
        <w:rPr>
          <w:b/>
          <w:color w:val="0E1F3A"/>
          <w:sz w:val="21"/>
        </w:rPr>
        <w:t xml:space="preserve">3.  </w:t>
      </w:r>
      <w:r>
        <w:rPr>
          <w:sz w:val="21"/>
        </w:rPr>
        <w:t>Title and risk of loss in the Product shall pass to the Buyer in accordance with the agreed Incoterms rule (clause 5).</w:t>
      </w:r>
    </w:p>
    <w:p>
      <w:pPr>
        <w:spacing w:before="160" w:after="80"/>
      </w:pPr>
      <w:r>
        <w:rPr>
          <w:rFonts w:ascii="Calibri" w:hAnsi="Calibri"/>
          <w:b/>
          <w:i w:val="0"/>
          <w:color w:val="0E1F3A"/>
          <w:sz w:val="24"/>
          <w:u w:val="none"/>
        </w:rPr>
        <w:t>3..  Quantity, Term and Delivery Schedule</w:t>
      </w:r>
    </w:p>
    <w:tbl>
      <w:tblPr>
        <w:tblW w:type="auto" w:w="0"/>
        <w:tblLayout w:type="fixed"/>
        <w:tblLook w:firstColumn="1" w:firstRow="1" w:lastColumn="0" w:lastRow="0" w:noHBand="0" w:noVBand="1" w:val="04A0"/>
      </w:tblPr>
      <w:tblGrid>
        <w:gridCol w:w="4513"/>
        <w:gridCol w:w="4513"/>
      </w:tblGrid>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Quantity</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 metric tonnes per calendar month (±10%), totalling approximately [____] MT over the Term.</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Term</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[12 / 24 / 36] months from the Effective Date, renewable by mutual written agreement.</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Loading Port</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[Santos / Buenos Aires / Callao / Buenaventura / Other].</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Discharge Port</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Karachi Port (KPT) / Port Qasim (PQA), Pakistan.</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First Shipment</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Within [____] days of fulfilment of all Conditions Precedent.</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Nomination Notice</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Buyer shall provide a binding Nomination Notice not less than [15] days before each laycan, specifying volume, vessel ETA and discharge port.</w:t>
            </w:r>
          </w:p>
        </w:tc>
      </w:tr>
    </w:tbl>
    <w:p>
      <w:pPr>
        <w:spacing w:before="0" w:after="120"/>
      </w:pPr>
    </w:p>
    <w:p>
      <w:pPr>
        <w:spacing w:before="160" w:after="80"/>
      </w:pPr>
      <w:r>
        <w:rPr>
          <w:rFonts w:ascii="Calibri" w:hAnsi="Calibri"/>
          <w:b/>
          <w:i w:val="0"/>
          <w:color w:val="0E1F3A"/>
          <w:sz w:val="24"/>
          <w:u w:val="none"/>
        </w:rPr>
        <w:t>4..  Price and Payment</w:t>
      </w:r>
    </w:p>
    <w:tbl>
      <w:tblPr>
        <w:tblW w:type="auto" w:w="0"/>
        <w:tblLayout w:type="fixed"/>
        <w:tblLook w:firstColumn="1" w:firstRow="1" w:lastColumn="0" w:lastRow="0" w:noHBand="0" w:noVBand="1" w:val="04A0"/>
      </w:tblPr>
      <w:tblGrid>
        <w:gridCol w:w="4513"/>
        <w:gridCol w:w="4513"/>
      </w:tblGrid>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Unit Price</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USD [____] per metric tonne, [FOB / CIF / CFR / DAP] [Loading Port / Discharge Port], all-inclusive of export duties, consolidation, surveyor fees and standard documentation.</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Currency</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USD. All payments shall be in immediately available funds free of any deduction, set-off or counterclaim.</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Payment Mechanism</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[Irrevocable Letter of Credit at sight / Telegraphic Transfer T/T 30 days from BL date / 20% advance and 80% against documents].</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Bank Details</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Supplier bank details set out in Schedule 3.</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Late Payment</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Interest on overdue amounts shall accrue at SOFR + 4.0% per annum from the due date until paid.</w:t>
            </w:r>
          </w:p>
        </w:tc>
      </w:tr>
      <w:tr>
        <w:tc>
          <w:tcPr>
            <w:tcW w:type="dxa" w:w="3312"/>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Taxes</w:t>
            </w:r>
          </w:p>
        </w:tc>
        <w:tc>
          <w:tcPr>
            <w:tcW w:type="dxa" w:w="6048"/>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Each Party shall bear taxes imposed on it by its own jurisdiction. Withholding tax (if any) shall be grossed up by the Buyer.</w:t>
            </w:r>
          </w:p>
        </w:tc>
      </w:tr>
    </w:tbl>
    <w:p>
      <w:pPr>
        <w:spacing w:before="0" w:after="120"/>
      </w:pPr>
    </w:p>
    <w:p>
      <w:pPr>
        <w:spacing w:before="160" w:after="80"/>
      </w:pPr>
      <w:r>
        <w:rPr>
          <w:rFonts w:ascii="Calibri" w:hAnsi="Calibri"/>
          <w:b/>
          <w:i w:val="0"/>
          <w:color w:val="0E1F3A"/>
          <w:sz w:val="24"/>
          <w:u w:val="none"/>
        </w:rPr>
        <w:t>5..  Incoterms and Delivery</w:t>
      </w:r>
    </w:p>
    <w:p>
      <w:pPr>
        <w:spacing w:after="100" w:line="300" w:lineRule="auto"/>
        <w:ind w:left="648" w:hanging="648"/>
        <w:jc w:val="both"/>
      </w:pPr>
      <w:r>
        <w:rPr>
          <w:b/>
          <w:color w:val="0E1F3A"/>
          <w:sz w:val="21"/>
        </w:rPr>
        <w:t xml:space="preserve">1.  </w:t>
      </w:r>
      <w:r>
        <w:rPr>
          <w:sz w:val="21"/>
        </w:rPr>
        <w:t>Delivery shall be effected on a [FOB / CIF / CFR / DAP] basis (Incoterms® 2020) at [Loading / Discharge Port].</w:t>
      </w:r>
    </w:p>
    <w:p>
      <w:pPr>
        <w:spacing w:after="100" w:line="300" w:lineRule="auto"/>
        <w:ind w:left="648" w:hanging="648"/>
        <w:jc w:val="both"/>
      </w:pPr>
      <w:r>
        <w:rPr>
          <w:b/>
          <w:color w:val="0E1F3A"/>
          <w:sz w:val="21"/>
        </w:rPr>
        <w:t xml:space="preserve">2.  </w:t>
      </w:r>
      <w:r>
        <w:rPr>
          <w:sz w:val="21"/>
        </w:rPr>
        <w:t>The Supplier shall load Product into clean, dry, 40-ft High-Cube containers, sealed with bolt and cable seals, and shall arrange vessel space (where the agreed Incoterms rule so requires).</w:t>
      </w:r>
    </w:p>
    <w:p>
      <w:pPr>
        <w:spacing w:after="100" w:line="300" w:lineRule="auto"/>
        <w:ind w:left="648" w:hanging="648"/>
        <w:jc w:val="both"/>
      </w:pPr>
      <w:r>
        <w:rPr>
          <w:b/>
          <w:color w:val="0E1F3A"/>
          <w:sz w:val="21"/>
        </w:rPr>
        <w:t xml:space="preserve">3.  </w:t>
      </w:r>
      <w:r>
        <w:rPr>
          <w:sz w:val="21"/>
        </w:rPr>
        <w:t>Risk shall pass on shipment in accordance with the agreed Incoterms rule. Title shall pass on the later of (a) such risk transfer and (b) receipt by Supplier of the agreed payment.</w:t>
      </w:r>
    </w:p>
    <w:p>
      <w:pPr>
        <w:spacing w:after="100" w:line="300" w:lineRule="auto"/>
        <w:ind w:left="648" w:hanging="648"/>
        <w:jc w:val="both"/>
      </w:pPr>
      <w:r>
        <w:rPr>
          <w:b/>
          <w:color w:val="0E1F3A"/>
          <w:sz w:val="21"/>
        </w:rPr>
        <w:t xml:space="preserve">4.  </w:t>
      </w:r>
      <w:r>
        <w:rPr>
          <w:sz w:val="21"/>
        </w:rPr>
        <w:t>Demurrage and detention at the loading port shall be for the Supplier’s account; demurrage and detention at the discharge port shall be for the Buyer’s account, save where caused by the other Party’s default.</w:t>
      </w:r>
    </w:p>
    <w:p>
      <w:pPr>
        <w:spacing w:before="160" w:after="80"/>
      </w:pPr>
      <w:r>
        <w:rPr>
          <w:rFonts w:ascii="Calibri" w:hAnsi="Calibri"/>
          <w:b/>
          <w:i w:val="0"/>
          <w:color w:val="0E1F3A"/>
          <w:sz w:val="24"/>
          <w:u w:val="none"/>
        </w:rPr>
        <w:t>6..  Inspection, Sampling and Quality</w:t>
      </w:r>
    </w:p>
    <w:p>
      <w:pPr>
        <w:spacing w:after="100" w:line="300" w:lineRule="auto"/>
        <w:ind w:left="648" w:hanging="648"/>
        <w:jc w:val="both"/>
      </w:pPr>
      <w:r>
        <w:rPr>
          <w:b/>
          <w:color w:val="0E1F3A"/>
          <w:sz w:val="21"/>
        </w:rPr>
        <w:t xml:space="preserve">1.  </w:t>
      </w:r>
      <w:r>
        <w:rPr>
          <w:sz w:val="21"/>
        </w:rPr>
        <w:t>A Pre-Shipment Inspection shall be conducted by an independent internationally recognised surveyor (SGS, Bureau Veritas, Intertek, Cotecna or equivalent) at the consolidation yard, prior to container stuffing. The PSI Certificate and Certificate of Analysis (CoA) shall be provided in respect of every Shipment.</w:t>
      </w:r>
    </w:p>
    <w:p>
      <w:pPr>
        <w:spacing w:after="100" w:line="300" w:lineRule="auto"/>
        <w:ind w:left="648" w:hanging="648"/>
        <w:jc w:val="both"/>
      </w:pPr>
      <w:r>
        <w:rPr>
          <w:b/>
          <w:color w:val="0E1F3A"/>
          <w:sz w:val="21"/>
        </w:rPr>
        <w:t xml:space="preserve">2.  </w:t>
      </w:r>
      <w:r>
        <w:rPr>
          <w:sz w:val="21"/>
        </w:rPr>
        <w:t>If, on arrival at the discharge port, any quality parameter is found to deviate from the Specification by more than ten per cent (10%), the Buyer may demand an umpire analysis by a third independent laboratory mutually agreed; the umpire result shall be final and binding.</w:t>
      </w:r>
    </w:p>
    <w:p>
      <w:pPr>
        <w:spacing w:after="100" w:line="300" w:lineRule="auto"/>
        <w:ind w:left="648" w:hanging="648"/>
        <w:jc w:val="both"/>
      </w:pPr>
      <w:r>
        <w:rPr>
          <w:b/>
          <w:color w:val="0E1F3A"/>
          <w:sz w:val="21"/>
        </w:rPr>
        <w:t xml:space="preserve">3.  </w:t>
      </w:r>
      <w:r>
        <w:rPr>
          <w:sz w:val="21"/>
        </w:rPr>
        <w:t>The Buyer’s remedies in case of off-specification cargo shall be, at the Buyer’s option: (a) acceptance with price adjustment computed pro rata to the deviating parameter; (b) rejection of the non-conforming portion at the Supplier’s cost; or (c) replacement with conforming Product within thirty (30) days.</w:t>
      </w:r>
    </w:p>
    <w:p>
      <w:pPr>
        <w:spacing w:after="100" w:line="300" w:lineRule="auto"/>
        <w:ind w:left="648" w:hanging="648"/>
        <w:jc w:val="both"/>
      </w:pPr>
      <w:r>
        <w:rPr>
          <w:b/>
          <w:color w:val="0E1F3A"/>
          <w:sz w:val="21"/>
        </w:rPr>
        <w:t xml:space="preserve">4.  </w:t>
      </w:r>
      <w:r>
        <w:rPr>
          <w:sz w:val="21"/>
        </w:rPr>
        <w:t>Sampling, sample retention (90 days) and analysis methods shall follow Schedule 1 (Specification).</w:t>
      </w:r>
    </w:p>
    <w:p>
      <w:pPr>
        <w:spacing w:before="160" w:after="80"/>
      </w:pPr>
      <w:r>
        <w:rPr>
          <w:rFonts w:ascii="Calibri" w:hAnsi="Calibri"/>
          <w:b/>
          <w:i w:val="0"/>
          <w:color w:val="0E1F3A"/>
          <w:sz w:val="24"/>
          <w:u w:val="none"/>
        </w:rPr>
        <w:t>7..  Shipping Documentation</w:t>
      </w:r>
    </w:p>
    <w:p>
      <w:pPr>
        <w:spacing w:after="100" w:line="300" w:lineRule="auto"/>
        <w:ind w:left="648" w:hanging="648"/>
        <w:jc w:val="both"/>
      </w:pPr>
      <w:r>
        <w:rPr>
          <w:b/>
          <w:color w:val="0E1F3A"/>
          <w:sz w:val="21"/>
        </w:rPr>
        <w:t xml:space="preserve">1.  </w:t>
      </w:r>
      <w:r>
        <w:rPr>
          <w:sz w:val="21"/>
        </w:rPr>
        <w:t>Supplier shall provide, per Shipment, an originals + copies set comprising: Commercial Invoice, Packing List, Bill of Lading, Certificate of Origin, PSI Certificate, CoA, Marine Insurance Certificate (where CIF), Basel Annex IB Movement Document, and any other documents reasonably required by the Buyer or by the Pakistan authorities for clearance.</w:t>
      </w:r>
    </w:p>
    <w:p>
      <w:pPr>
        <w:spacing w:after="100" w:line="300" w:lineRule="auto"/>
        <w:ind w:left="648" w:hanging="648"/>
        <w:jc w:val="both"/>
      </w:pPr>
      <w:r>
        <w:rPr>
          <w:b/>
          <w:color w:val="0E1F3A"/>
          <w:sz w:val="21"/>
        </w:rPr>
        <w:t xml:space="preserve">2.  </w:t>
      </w:r>
      <w:r>
        <w:rPr>
          <w:sz w:val="21"/>
        </w:rPr>
        <w:t>Documents shall be couriered (DHL/FedEx) to the Buyer or its nominated bank within five (5) Business Days of the BL date.</w:t>
      </w:r>
    </w:p>
    <w:p>
      <w:pPr>
        <w:spacing w:after="100" w:line="300" w:lineRule="auto"/>
        <w:ind w:left="648" w:hanging="648"/>
        <w:jc w:val="both"/>
      </w:pPr>
      <w:r>
        <w:rPr>
          <w:b/>
          <w:color w:val="0E1F3A"/>
          <w:sz w:val="21"/>
        </w:rPr>
        <w:t xml:space="preserve">3.  </w:t>
      </w:r>
      <w:r>
        <w:rPr>
          <w:sz w:val="21"/>
        </w:rPr>
        <w:t>Discrepant documents may be rejected by the Buyer; the Supplier shall replace them within five (5) Business Days at its cost.</w:t>
      </w:r>
    </w:p>
    <w:p>
      <w:pPr>
        <w:spacing w:before="160" w:after="80"/>
      </w:pPr>
      <w:r>
        <w:rPr>
          <w:rFonts w:ascii="Calibri" w:hAnsi="Calibri"/>
          <w:b/>
          <w:i w:val="0"/>
          <w:color w:val="0E1F3A"/>
          <w:sz w:val="24"/>
          <w:u w:val="none"/>
        </w:rPr>
        <w:t>8..  Regulatory Compliance — Basel and Pakistan</w:t>
      </w:r>
    </w:p>
    <w:p>
      <w:pPr>
        <w:spacing w:after="100" w:line="300" w:lineRule="auto"/>
        <w:ind w:left="648" w:hanging="648"/>
        <w:jc w:val="both"/>
      </w:pPr>
      <w:r>
        <w:rPr>
          <w:b/>
          <w:color w:val="0E1F3A"/>
          <w:sz w:val="21"/>
        </w:rPr>
        <w:t xml:space="preserve">1.  </w:t>
      </w:r>
      <w:r>
        <w:rPr>
          <w:sz w:val="21"/>
        </w:rPr>
        <w:t>Each Party shall comply with all applicable laws and regulations, including the Basel Convention, the Pakistan Environmental Protection Act 1997, Hazardous Substances Rules 2003, NEQS co-processing standards and applicable Customs and provincial regulations.</w:t>
      </w:r>
    </w:p>
    <w:p>
      <w:pPr>
        <w:spacing w:after="100" w:line="300" w:lineRule="auto"/>
        <w:ind w:left="648" w:hanging="648"/>
        <w:jc w:val="both"/>
      </w:pPr>
      <w:r>
        <w:rPr>
          <w:b/>
          <w:color w:val="0E1F3A"/>
          <w:sz w:val="21"/>
        </w:rPr>
        <w:t xml:space="preserve">2.  </w:t>
      </w:r>
      <w:r>
        <w:rPr>
          <w:sz w:val="21"/>
        </w:rPr>
        <w:t>Prior to the first Shipment, the Buyer shall procure (with the Supplier’s reasonable cooperation): (a) Pak-EPA No Objection Certificate (NOC); (b) provincial EPA NOC where required; (c) cement plant co-processing endorsement. The Supplier shall procure the Basel Annex VI / VII notification and acknowledgement from its own Competent Authority.</w:t>
      </w:r>
    </w:p>
    <w:p>
      <w:pPr>
        <w:spacing w:after="100" w:line="300" w:lineRule="auto"/>
        <w:ind w:left="648" w:hanging="648"/>
        <w:jc w:val="both"/>
      </w:pPr>
      <w:r>
        <w:rPr>
          <w:b/>
          <w:color w:val="0E1F3A"/>
          <w:sz w:val="21"/>
        </w:rPr>
        <w:t xml:space="preserve">3.  </w:t>
      </w:r>
      <w:r>
        <w:rPr>
          <w:sz w:val="21"/>
        </w:rPr>
        <w:t>Neither Party shall offer, give or receive any bribe or other improper payment in connection with this Agreement, and each Party shall comply with the U.S. Foreign Corrupt Practices Act, the U.K. Bribery Act 2010 and equivalent local laws.</w:t>
      </w:r>
    </w:p>
    <w:p>
      <w:pPr>
        <w:spacing w:after="100" w:line="300" w:lineRule="auto"/>
        <w:ind w:left="648" w:hanging="648"/>
        <w:jc w:val="both"/>
      </w:pPr>
      <w:r>
        <w:rPr>
          <w:b/>
          <w:color w:val="0E1F3A"/>
          <w:sz w:val="21"/>
        </w:rPr>
        <w:t xml:space="preserve">4.  </w:t>
      </w:r>
      <w:r>
        <w:rPr>
          <w:sz w:val="21"/>
        </w:rPr>
        <w:t>Each Party represents that it is not, and is not owned or controlled by, a person on the U.S. OFAC SDN List, the EU consolidated sanctions list, the UK HMT sanctions list or the UN Security Council Sanctions List.</w:t>
      </w:r>
    </w:p>
    <w:p>
      <w:pPr>
        <w:spacing w:before="160" w:after="80"/>
      </w:pPr>
      <w:r>
        <w:rPr>
          <w:rFonts w:ascii="Calibri" w:hAnsi="Calibri"/>
          <w:b/>
          <w:i w:val="0"/>
          <w:color w:val="0E1F3A"/>
          <w:sz w:val="24"/>
          <w:u w:val="none"/>
        </w:rPr>
        <w:t>9..  Force Majeure</w:t>
      </w:r>
    </w:p>
    <w:p>
      <w:pPr>
        <w:spacing w:before="0" w:after="120" w:line="300" w:lineRule="auto"/>
        <w:jc w:val="both"/>
      </w:pPr>
      <w:r>
        <w:rPr>
          <w:rFonts w:ascii="Calibri" w:hAnsi="Calibri"/>
          <w:b w:val="0"/>
          <w:i w:val="0"/>
          <w:sz w:val="21"/>
          <w:u w:val="none"/>
        </w:rPr>
        <w:t>Neither Party shall be liable for any failure or delay in performance of its obligations (other than the obligation to pay money) caused by events beyond its reasonable control, including acts of God, war, terrorism, civil unrest, strikes, port closures, epidemics, pandemics, governmental embargoes, or extreme weather. The affected Party shall notify the other within seven (7) days. If the Force Majeure event continues for more than ninety (90) days, either Party may terminate the affected Shipment(s) without liability.</w:t>
      </w:r>
    </w:p>
    <w:p>
      <w:pPr>
        <w:spacing w:before="160" w:after="80"/>
      </w:pPr>
      <w:r>
        <w:rPr>
          <w:rFonts w:ascii="Calibri" w:hAnsi="Calibri"/>
          <w:b/>
          <w:i w:val="0"/>
          <w:color w:val="0E1F3A"/>
          <w:sz w:val="24"/>
          <w:u w:val="none"/>
        </w:rPr>
        <w:t>10..  Term and Termination</w:t>
      </w:r>
    </w:p>
    <w:p>
      <w:pPr>
        <w:spacing w:after="100" w:line="300" w:lineRule="auto"/>
        <w:ind w:left="648" w:hanging="648"/>
        <w:jc w:val="both"/>
      </w:pPr>
      <w:r>
        <w:rPr>
          <w:b/>
          <w:color w:val="0E1F3A"/>
          <w:sz w:val="21"/>
        </w:rPr>
        <w:t xml:space="preserve">1.  </w:t>
      </w:r>
      <w:r>
        <w:rPr>
          <w:sz w:val="21"/>
        </w:rPr>
        <w:t>This Agreement shall commence on the Effective Date and continue for the Term set out in clause 3, unless earlier terminated.</w:t>
      </w:r>
    </w:p>
    <w:p>
      <w:pPr>
        <w:spacing w:after="100" w:line="300" w:lineRule="auto"/>
        <w:ind w:left="648" w:hanging="648"/>
        <w:jc w:val="both"/>
      </w:pPr>
      <w:r>
        <w:rPr>
          <w:b/>
          <w:color w:val="0E1F3A"/>
          <w:sz w:val="21"/>
        </w:rPr>
        <w:t xml:space="preserve">2.  </w:t>
      </w:r>
      <w:r>
        <w:rPr>
          <w:sz w:val="21"/>
        </w:rPr>
        <w:t>Either Party may terminate this Agreement immediately on written notice if: (a) the other Party commits a material breach not cured within thirty (30) days of notice; (b) the other Party becomes insolvent, enters administration, has a receiver appointed or ceases business; (c) any required regulatory approval is denied, withdrawn or expires and is not replaced within sixty (60) days.</w:t>
      </w:r>
    </w:p>
    <w:p>
      <w:pPr>
        <w:spacing w:after="100" w:line="300" w:lineRule="auto"/>
        <w:ind w:left="648" w:hanging="648"/>
        <w:jc w:val="both"/>
      </w:pPr>
      <w:r>
        <w:rPr>
          <w:b/>
          <w:color w:val="0E1F3A"/>
          <w:sz w:val="21"/>
        </w:rPr>
        <w:t xml:space="preserve">3.  </w:t>
      </w:r>
      <w:r>
        <w:rPr>
          <w:sz w:val="21"/>
        </w:rPr>
        <w:t>Termination shall be without prejudice to accrued rights, including any payment outstanding for delivered Product.</w:t>
      </w:r>
    </w:p>
    <w:p>
      <w:pPr>
        <w:spacing w:before="160" w:after="80"/>
      </w:pPr>
      <w:r>
        <w:rPr>
          <w:rFonts w:ascii="Calibri" w:hAnsi="Calibri"/>
          <w:b/>
          <w:i w:val="0"/>
          <w:color w:val="0E1F3A"/>
          <w:sz w:val="24"/>
          <w:u w:val="none"/>
        </w:rPr>
        <w:t>11..  Liability and Indemnity</w:t>
      </w:r>
    </w:p>
    <w:p>
      <w:pPr>
        <w:spacing w:after="100" w:line="300" w:lineRule="auto"/>
        <w:ind w:left="648" w:hanging="648"/>
        <w:jc w:val="both"/>
      </w:pPr>
      <w:r>
        <w:rPr>
          <w:b/>
          <w:color w:val="0E1F3A"/>
          <w:sz w:val="21"/>
        </w:rPr>
        <w:t xml:space="preserve">1.  </w:t>
      </w:r>
      <w:r>
        <w:rPr>
          <w:sz w:val="21"/>
        </w:rPr>
        <w:t>Each Party shall indemnify and hold harmless the other against any third-party claims, fines, losses or damages directly resulting from its own breach of this Agreement, gross negligence or wilful misconduct.</w:t>
      </w:r>
    </w:p>
    <w:p>
      <w:pPr>
        <w:spacing w:after="100" w:line="300" w:lineRule="auto"/>
        <w:ind w:left="648" w:hanging="648"/>
        <w:jc w:val="both"/>
      </w:pPr>
      <w:r>
        <w:rPr>
          <w:b/>
          <w:color w:val="0E1F3A"/>
          <w:sz w:val="21"/>
        </w:rPr>
        <w:t xml:space="preserve">2.  </w:t>
      </w:r>
      <w:r>
        <w:rPr>
          <w:sz w:val="21"/>
        </w:rPr>
        <w:t>Save in respect of (a) breach of confidentiality, (b) fraud or wilful misconduct, and (c) indemnities for environmental or regulatory breach, the aggregate liability of either Party shall not exceed one hundred per cent (100%) of the value of the Shipment(s) giving rise to the claim.</w:t>
      </w:r>
    </w:p>
    <w:p>
      <w:pPr>
        <w:spacing w:after="100" w:line="300" w:lineRule="auto"/>
        <w:ind w:left="648" w:hanging="648"/>
        <w:jc w:val="both"/>
      </w:pPr>
      <w:r>
        <w:rPr>
          <w:b/>
          <w:color w:val="0E1F3A"/>
          <w:sz w:val="21"/>
        </w:rPr>
        <w:t xml:space="preserve">3.  </w:t>
      </w:r>
      <w:r>
        <w:rPr>
          <w:sz w:val="21"/>
        </w:rPr>
        <w:t>Neither Party shall be liable for indirect, consequential, exemplary or punitive damages, or for loss of profit, revenue or business opportunity.</w:t>
      </w:r>
    </w:p>
    <w:p>
      <w:pPr>
        <w:spacing w:before="160" w:after="80"/>
      </w:pPr>
      <w:r>
        <w:rPr>
          <w:rFonts w:ascii="Calibri" w:hAnsi="Calibri"/>
          <w:b/>
          <w:i w:val="0"/>
          <w:color w:val="0E1F3A"/>
          <w:sz w:val="24"/>
          <w:u w:val="none"/>
        </w:rPr>
        <w:t>12..  Insurance</w:t>
      </w:r>
    </w:p>
    <w:p>
      <w:pPr>
        <w:spacing w:before="0" w:after="120" w:line="300" w:lineRule="auto"/>
        <w:jc w:val="both"/>
      </w:pPr>
      <w:r>
        <w:rPr>
          <w:rFonts w:ascii="Calibri" w:hAnsi="Calibri"/>
          <w:b w:val="0"/>
          <w:i w:val="0"/>
          <w:sz w:val="21"/>
          <w:u w:val="none"/>
        </w:rPr>
        <w:t>Where the agreed Incoterms rule places the obligation on the Supplier, the Supplier shall procure marine cargo insurance on Institute Cargo Clauses (A) (or equivalent) for not less than 110% of the CIF value, naming the Buyer as the assured. Otherwise, the Buyer shall arrange its own insurance from the Incoterms risk-transfer point.</w:t>
      </w:r>
    </w:p>
    <w:p>
      <w:pPr>
        <w:spacing w:before="160" w:after="80"/>
      </w:pPr>
      <w:r>
        <w:rPr>
          <w:rFonts w:ascii="Calibri" w:hAnsi="Calibri"/>
          <w:b/>
          <w:i w:val="0"/>
          <w:color w:val="0E1F3A"/>
          <w:sz w:val="24"/>
          <w:u w:val="none"/>
        </w:rPr>
        <w:t>13..  Confidentiality</w:t>
      </w:r>
    </w:p>
    <w:p>
      <w:pPr>
        <w:spacing w:before="0" w:after="120" w:line="300" w:lineRule="auto"/>
        <w:jc w:val="both"/>
      </w:pPr>
      <w:r>
        <w:rPr>
          <w:rFonts w:ascii="Calibri" w:hAnsi="Calibri"/>
          <w:b w:val="0"/>
          <w:i w:val="0"/>
          <w:sz w:val="21"/>
          <w:u w:val="none"/>
        </w:rPr>
        <w:t>The NDA dated [____] entered into between the Parties shall continue in force and is incorporated herein by reference. In the event of any conflict between the NDA and this Agreement, this Agreement shall prevail.</w:t>
      </w:r>
    </w:p>
    <w:p>
      <w:pPr>
        <w:spacing w:before="160" w:after="80"/>
      </w:pPr>
      <w:r>
        <w:rPr>
          <w:rFonts w:ascii="Calibri" w:hAnsi="Calibri"/>
          <w:b/>
          <w:i w:val="0"/>
          <w:color w:val="0E1F3A"/>
          <w:sz w:val="24"/>
          <w:u w:val="none"/>
        </w:rPr>
        <w:t>14..  Assignment</w:t>
      </w:r>
    </w:p>
    <w:p>
      <w:pPr>
        <w:spacing w:before="0" w:after="120" w:line="300" w:lineRule="auto"/>
        <w:jc w:val="both"/>
      </w:pPr>
      <w:r>
        <w:rPr>
          <w:rFonts w:ascii="Calibri" w:hAnsi="Calibri"/>
          <w:b w:val="0"/>
          <w:i w:val="0"/>
          <w:sz w:val="21"/>
          <w:u w:val="none"/>
        </w:rPr>
        <w:t>Neither Party shall assign this Agreement without the prior written consent of the other, save that the Buyer may assign to an Affiliate by notice (in which event the Buyer shall remain liable for the obligations of the assignee).</w:t>
      </w:r>
    </w:p>
    <w:p>
      <w:pPr>
        <w:spacing w:before="160" w:after="80"/>
      </w:pPr>
      <w:r>
        <w:rPr>
          <w:rFonts w:ascii="Calibri" w:hAnsi="Calibri"/>
          <w:b/>
          <w:i w:val="0"/>
          <w:color w:val="0E1F3A"/>
          <w:sz w:val="24"/>
          <w:u w:val="none"/>
        </w:rPr>
        <w:t>15..  Notices</w:t>
      </w:r>
    </w:p>
    <w:p>
      <w:pPr>
        <w:spacing w:before="0" w:after="120" w:line="300" w:lineRule="auto"/>
        <w:jc w:val="both"/>
      </w:pPr>
      <w:r>
        <w:rPr>
          <w:rFonts w:ascii="Calibri" w:hAnsi="Calibri"/>
          <w:b w:val="0"/>
          <w:i w:val="0"/>
          <w:sz w:val="21"/>
          <w:u w:val="none"/>
        </w:rPr>
        <w:t>All notices shall be in writing and delivered by email and international courier to the addresses set out in Schedule 4. Notices shall be deemed received on the next Business Day after delivery.</w:t>
      </w:r>
    </w:p>
    <w:p>
      <w:pPr>
        <w:spacing w:before="160" w:after="80"/>
      </w:pPr>
      <w:r>
        <w:rPr>
          <w:rFonts w:ascii="Calibri" w:hAnsi="Calibri"/>
          <w:b/>
          <w:i w:val="0"/>
          <w:color w:val="0E1F3A"/>
          <w:sz w:val="24"/>
          <w:u w:val="none"/>
        </w:rPr>
        <w:t>16..  Governing Law and Dispute Resolution</w:t>
      </w:r>
    </w:p>
    <w:p>
      <w:pPr>
        <w:spacing w:before="0" w:after="120" w:line="300" w:lineRule="auto"/>
        <w:jc w:val="both"/>
      </w:pPr>
      <w:r>
        <w:rPr>
          <w:rFonts w:ascii="Calibri" w:hAnsi="Calibri"/>
          <w:b w:val="0"/>
          <w:i w:val="0"/>
          <w:sz w:val="21"/>
          <w:u w:val="none"/>
        </w:rPr>
        <w:t xml:space="preserve">This Agreement shall be governed by and construed in accordance with the laws of </w:t>
      </w:r>
      <w:r>
        <w:rPr>
          <w:rFonts w:ascii="Calibri" w:hAnsi="Calibri"/>
          <w:b w:val="0"/>
          <w:i w:val="0"/>
          <w:color w:val="C62828"/>
          <w:sz w:val="21"/>
          <w:u w:val="none"/>
        </w:rPr>
        <w:t>[GOVERNING LAW]</w:t>
      </w:r>
      <w:r>
        <w:rPr>
          <w:rFonts w:ascii="Calibri" w:hAnsi="Calibri"/>
          <w:b w:val="0"/>
          <w:i w:val="0"/>
          <w:sz w:val="21"/>
          <w:u w:val="none"/>
        </w:rPr>
        <w:t xml:space="preserve">. Any dispute arising out of or in connection with this Agreement shall be finally resolved by arbitration administered by </w:t>
      </w:r>
      <w:r>
        <w:rPr>
          <w:rFonts w:ascii="Calibri" w:hAnsi="Calibri"/>
          <w:b w:val="0"/>
          <w:i w:val="0"/>
          <w:color w:val="C62828"/>
          <w:sz w:val="21"/>
          <w:u w:val="none"/>
        </w:rPr>
        <w:t>[ARBITRAL INSTITUTION]</w:t>
      </w:r>
      <w:r>
        <w:rPr>
          <w:rFonts w:ascii="Calibri" w:hAnsi="Calibri"/>
          <w:b w:val="0"/>
          <w:i w:val="0"/>
          <w:sz w:val="21"/>
          <w:u w:val="none"/>
        </w:rPr>
        <w:t xml:space="preserve"> under its rules, the seat of arbitration being </w:t>
      </w:r>
      <w:r>
        <w:rPr>
          <w:rFonts w:ascii="Calibri" w:hAnsi="Calibri"/>
          <w:b w:val="0"/>
          <w:i w:val="0"/>
          <w:color w:val="C62828"/>
          <w:sz w:val="21"/>
          <w:u w:val="none"/>
        </w:rPr>
        <w:t>[SEAT]</w:t>
      </w:r>
      <w:r>
        <w:rPr>
          <w:rFonts w:ascii="Calibri" w:hAnsi="Calibri"/>
          <w:b w:val="0"/>
          <w:i w:val="0"/>
          <w:sz w:val="21"/>
          <w:u w:val="none"/>
        </w:rPr>
        <w:t>, the language being English, before three (3) arbitrators.</w:t>
      </w:r>
    </w:p>
    <w:p>
      <w:pPr>
        <w:spacing w:before="160" w:after="80"/>
      </w:pPr>
      <w:r>
        <w:rPr>
          <w:rFonts w:ascii="Calibri" w:hAnsi="Calibri"/>
          <w:b/>
          <w:i w:val="0"/>
          <w:color w:val="0E1F3A"/>
          <w:sz w:val="24"/>
          <w:u w:val="none"/>
        </w:rPr>
        <w:t>17..  Miscellaneous</w:t>
      </w:r>
    </w:p>
    <w:p>
      <w:pPr>
        <w:spacing w:after="100" w:line="300" w:lineRule="auto"/>
        <w:ind w:left="648" w:hanging="648"/>
        <w:jc w:val="both"/>
      </w:pPr>
      <w:r>
        <w:rPr>
          <w:b/>
          <w:color w:val="0E1F3A"/>
          <w:sz w:val="21"/>
        </w:rPr>
        <w:t xml:space="preserve">1.  </w:t>
      </w:r>
      <w:r>
        <w:rPr>
          <w:sz w:val="21"/>
        </w:rPr>
        <w:t>This Agreement, together with its Schedules, constitutes the entire agreement between the Parties and supersedes any prior agreements (other than the NDA) on its subject matter.</w:t>
      </w:r>
    </w:p>
    <w:p>
      <w:pPr>
        <w:spacing w:after="100" w:line="300" w:lineRule="auto"/>
        <w:ind w:left="648" w:hanging="648"/>
        <w:jc w:val="both"/>
      </w:pPr>
      <w:r>
        <w:rPr>
          <w:b/>
          <w:color w:val="0E1F3A"/>
          <w:sz w:val="21"/>
        </w:rPr>
        <w:t xml:space="preserve">2.  </w:t>
      </w:r>
      <w:r>
        <w:rPr>
          <w:sz w:val="21"/>
        </w:rPr>
        <w:t>No amendment shall be effective unless made in writing and signed by both Parties.</w:t>
      </w:r>
    </w:p>
    <w:p>
      <w:pPr>
        <w:spacing w:after="100" w:line="300" w:lineRule="auto"/>
        <w:ind w:left="648" w:hanging="648"/>
        <w:jc w:val="both"/>
      </w:pPr>
      <w:r>
        <w:rPr>
          <w:b/>
          <w:color w:val="0E1F3A"/>
          <w:sz w:val="21"/>
        </w:rPr>
        <w:t xml:space="preserve">3.  </w:t>
      </w:r>
      <w:r>
        <w:rPr>
          <w:sz w:val="21"/>
        </w:rPr>
        <w:t>If any provision of this Agreement is held to be invalid, the remaining provisions shall remain in full force and effect.</w:t>
      </w:r>
    </w:p>
    <w:p>
      <w:pPr>
        <w:spacing w:after="100" w:line="300" w:lineRule="auto"/>
        <w:ind w:left="648" w:hanging="648"/>
        <w:jc w:val="both"/>
      </w:pPr>
      <w:r>
        <w:rPr>
          <w:b/>
          <w:color w:val="0E1F3A"/>
          <w:sz w:val="21"/>
        </w:rPr>
        <w:t xml:space="preserve">4.  </w:t>
      </w:r>
      <w:r>
        <w:rPr>
          <w:sz w:val="21"/>
        </w:rPr>
        <w:t>This Agreement may be executed in counterparts, including by electronic signature, each of which shall be deemed an original and which together shall constitute one and the same instrument.</w:t>
      </w:r>
    </w:p>
    <w:p>
      <w:pPr>
        <w:spacing w:after="100" w:line="300" w:lineRule="auto"/>
        <w:ind w:left="648" w:hanging="648"/>
        <w:jc w:val="both"/>
      </w:pPr>
      <w:r>
        <w:rPr>
          <w:b/>
          <w:color w:val="0E1F3A"/>
          <w:sz w:val="21"/>
        </w:rPr>
        <w:t xml:space="preserve">5.  </w:t>
      </w:r>
      <w:r>
        <w:rPr>
          <w:sz w:val="21"/>
        </w:rPr>
        <w:t>Nothing in this Agreement creates a partnership, joint venture, agency or employment relationship between the Parties.</w:t>
      </w:r>
    </w:p>
    <w:p>
      <w:pPr>
        <w:spacing w:before="160" w:after="80"/>
      </w:pPr>
      <w:r>
        <w:rPr>
          <w:rFonts w:ascii="Calibri" w:hAnsi="Calibri"/>
          <w:b/>
          <w:i w:val="0"/>
          <w:color w:val="0E1F3A"/>
          <w:sz w:val="24"/>
          <w:u w:val="none"/>
        </w:rPr>
        <w:t>18..  Schedules</w:t>
      </w:r>
    </w:p>
    <w:tbl>
      <w:tblPr>
        <w:tblW w:type="auto" w:w="0"/>
        <w:tblLayout w:type="fixed"/>
        <w:tblLook w:firstColumn="1" w:firstRow="1" w:lastColumn="0" w:lastRow="0" w:noHBand="0" w:noVBand="1" w:val="04A0"/>
      </w:tblPr>
      <w:tblGrid>
        <w:gridCol w:w="4513"/>
        <w:gridCol w:w="4513"/>
      </w:tblGrid>
      <w:tr>
        <w:tc>
          <w:tcPr>
            <w:tcW w:type="dxa" w:w="28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Schedule 1</w:t>
            </w:r>
          </w:p>
        </w:tc>
        <w:tc>
          <w:tcPr>
            <w:tcW w:type="dxa" w:w="64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TDF Specification Sheet (per separate document).</w:t>
            </w:r>
          </w:p>
        </w:tc>
      </w:tr>
      <w:tr>
        <w:tc>
          <w:tcPr>
            <w:tcW w:type="dxa" w:w="28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Schedule 2</w:t>
            </w:r>
          </w:p>
        </w:tc>
        <w:tc>
          <w:tcPr>
            <w:tcW w:type="dxa" w:w="64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Quantity &amp; Delivery Schedule (volumes, laycans, ports).</w:t>
            </w:r>
          </w:p>
        </w:tc>
      </w:tr>
      <w:tr>
        <w:tc>
          <w:tcPr>
            <w:tcW w:type="dxa" w:w="28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Schedule 3</w:t>
            </w:r>
          </w:p>
        </w:tc>
        <w:tc>
          <w:tcPr>
            <w:tcW w:type="dxa" w:w="64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Bank Details / Payment Instructions.</w:t>
            </w:r>
          </w:p>
        </w:tc>
      </w:tr>
      <w:tr>
        <w:tc>
          <w:tcPr>
            <w:tcW w:type="dxa" w:w="28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Schedule 4</w:t>
            </w:r>
          </w:p>
        </w:tc>
        <w:tc>
          <w:tcPr>
            <w:tcW w:type="dxa" w:w="64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Notice Addresses / Authorised Representatives.</w:t>
            </w:r>
          </w:p>
        </w:tc>
      </w:tr>
      <w:tr>
        <w:tc>
          <w:tcPr>
            <w:tcW w:type="dxa" w:w="28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Schedule 5</w:t>
            </w:r>
          </w:p>
        </w:tc>
        <w:tc>
          <w:tcPr>
            <w:tcW w:type="dxa" w:w="6480"/>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List of Conditions Precedent.</w:t>
            </w:r>
          </w:p>
        </w:tc>
      </w:tr>
    </w:tbl>
    <w:p>
      <w:pPr>
        <w:spacing w:before="0" w:after="200"/>
      </w:pPr>
    </w:p>
    <w:p>
      <w:pPr>
        <w:spacing w:before="0" w:after="240" w:line="300" w:lineRule="auto"/>
        <w:jc w:val="both"/>
      </w:pPr>
      <w:r>
        <w:rPr>
          <w:rFonts w:ascii="Calibri" w:hAnsi="Calibri"/>
          <w:b w:val="0"/>
          <w:i/>
          <w:sz w:val="21"/>
          <w:u w:val="none"/>
        </w:rPr>
        <w:t>IN WITNESS WHEREOF the Parties have executed this Agreement by their duly authorised representatives as of the Effective Date.</w:t>
      </w:r>
    </w:p>
    <w:tbl>
      <w:tblPr>
        <w:tblW w:type="auto" w:w="0"/>
        <w:tblLayout w:type="fixed"/>
        <w:tblLook w:firstColumn="1" w:firstRow="1" w:lastColumn="0" w:lastRow="0" w:noHBand="0" w:noVBand="1" w:val="04A0"/>
      </w:tblPr>
      <w:tblGrid>
        <w:gridCol w:w="4513"/>
        <w:gridCol w:w="4513"/>
      </w:tblGrid>
      <w:tr>
        <w:tc>
          <w:tcPr>
            <w:tcW w:type="dxa" w:w="4680"/>
            <w:vAlign w:val="top"/>
          </w:tcPr>
          <w:p>
            <w:pPr>
              <w:spacing w:after="120"/>
            </w:pPr>
            <w:r>
              <w:rPr>
                <w:b/>
                <w:color w:val="0E1F3A"/>
                <w:sz w:val="22"/>
              </w:rPr>
              <w:t>For and on behalf of</w:t>
              <w:br/>
              <w:t>AMERICANS TRADES GROUP LLC</w:t>
            </w:r>
          </w:p>
          <w:p>
            <w:pPr>
              <w:spacing w:after="160"/>
            </w:pPr>
            <w:r>
              <w:rPr>
                <w:b/>
                <w:sz w:val="21"/>
              </w:rPr>
              <w:t xml:space="preserve">By: </w:t>
            </w:r>
            <w:r>
              <w:rPr>
                <w:color w:val="C62828"/>
                <w:sz w:val="21"/>
              </w:rPr>
              <w:t>____________________________</w:t>
            </w:r>
          </w:p>
          <w:p>
            <w:pPr>
              <w:spacing w:after="160"/>
            </w:pPr>
            <w:r>
              <w:rPr>
                <w:b/>
                <w:sz w:val="21"/>
              </w:rPr>
              <w:t xml:space="preserve">Name: </w:t>
            </w:r>
            <w:r>
              <w:rPr>
                <w:color w:val="C62828"/>
                <w:sz w:val="21"/>
              </w:rPr>
              <w:t>____________________________</w:t>
            </w:r>
          </w:p>
          <w:p>
            <w:pPr>
              <w:spacing w:after="160"/>
            </w:pPr>
            <w:r>
              <w:rPr>
                <w:b/>
                <w:sz w:val="21"/>
              </w:rPr>
              <w:t xml:space="preserve">Title: </w:t>
            </w:r>
            <w:r>
              <w:rPr>
                <w:color w:val="C62828"/>
                <w:sz w:val="21"/>
              </w:rPr>
              <w:t>____________________________</w:t>
            </w:r>
          </w:p>
          <w:p>
            <w:pPr>
              <w:spacing w:after="160"/>
            </w:pPr>
            <w:r>
              <w:rPr>
                <w:b/>
                <w:sz w:val="21"/>
              </w:rPr>
              <w:t xml:space="preserve">Date: </w:t>
            </w:r>
            <w:r>
              <w:rPr>
                <w:color w:val="C62828"/>
                <w:sz w:val="21"/>
              </w:rPr>
              <w:t>____________________________</w:t>
            </w:r>
          </w:p>
        </w:tc>
        <w:tc>
          <w:tcPr>
            <w:tcW w:type="dxa" w:w="4680"/>
            <w:vAlign w:val="top"/>
          </w:tcPr>
          <w:p>
            <w:pPr>
              <w:spacing w:after="120"/>
            </w:pPr>
            <w:r>
              <w:rPr>
                <w:b/>
                <w:color w:val="0E1F3A"/>
                <w:sz w:val="22"/>
              </w:rPr>
              <w:t>For and on behalf of</w:t>
              <w:br/>
              <w:t>[SUPPLIER LEGAL NAME]</w:t>
            </w:r>
          </w:p>
          <w:p>
            <w:pPr>
              <w:spacing w:after="160"/>
            </w:pPr>
            <w:r>
              <w:rPr>
                <w:b/>
                <w:sz w:val="21"/>
              </w:rPr>
              <w:t xml:space="preserve">By: </w:t>
            </w:r>
            <w:r>
              <w:rPr>
                <w:color w:val="C62828"/>
                <w:sz w:val="21"/>
              </w:rPr>
              <w:t>____________________________</w:t>
            </w:r>
          </w:p>
          <w:p>
            <w:pPr>
              <w:spacing w:after="160"/>
            </w:pPr>
            <w:r>
              <w:rPr>
                <w:b/>
                <w:sz w:val="21"/>
              </w:rPr>
              <w:t xml:space="preserve">Name: </w:t>
            </w:r>
            <w:r>
              <w:rPr>
                <w:color w:val="C62828"/>
                <w:sz w:val="21"/>
              </w:rPr>
              <w:t>____________________________</w:t>
            </w:r>
          </w:p>
          <w:p>
            <w:pPr>
              <w:spacing w:after="160"/>
            </w:pPr>
            <w:r>
              <w:rPr>
                <w:b/>
                <w:sz w:val="21"/>
              </w:rPr>
              <w:t xml:space="preserve">Title: </w:t>
            </w:r>
            <w:r>
              <w:rPr>
                <w:color w:val="C62828"/>
                <w:sz w:val="21"/>
              </w:rPr>
              <w:t>____________________________</w:t>
            </w:r>
          </w:p>
          <w:p>
            <w:pPr>
              <w:spacing w:after="160"/>
            </w:pPr>
            <w:r>
              <w:rPr>
                <w:b/>
                <w:sz w:val="21"/>
              </w:rPr>
              <w:t xml:space="preserve">Date: </w:t>
            </w:r>
            <w:r>
              <w:rPr>
                <w:color w:val="C62828"/>
                <w:sz w:val="21"/>
              </w:rPr>
              <w:t>____________________________</w:t>
            </w:r>
          </w:p>
        </w:tc>
      </w:tr>
    </w:tbl>
    <w:p>
      <w:pPr>
        <w:spacing w:before="0" w:after="160"/>
      </w:pPr>
    </w:p>
    <w:p>
      <w:pPr>
        <w:spacing w:before="0" w:after="80"/>
        <w:jc w:val="center"/>
      </w:pPr>
      <w:r>
        <w:rPr>
          <w:rFonts w:ascii="Calibri" w:hAnsi="Calibri"/>
          <w:b w:val="0"/>
          <w:i/>
          <w:color w:val="6B7280"/>
          <w:sz w:val="17"/>
          <w:u w:val="none"/>
        </w:rPr>
        <w:t>This is a template document prepared for internal use. It is not legal advice. Engage qualified counsel in the relevant jurisdiction(s) before executing any binding agreement.</w:t>
      </w:r>
    </w:p>
    <w:sectPr w:rsidR="00FC693F" w:rsidRPr="0006063C" w:rsidSect="00034616">
      <w:pgSz w:w="11906" w:h="16838"/>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