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160" w:line="240" w:lineRule="auto"/>
        <w:jc w:val="center"/>
      </w:pPr>
      <w:r>
        <w:rPr>
          <w:rFonts w:ascii="Calibri" w:hAnsi="Calibri"/>
          <w:b/>
          <w:i w:val="0"/>
          <w:color w:val="C62828"/>
          <w:sz w:val="18"/>
          <w:u w:val="none"/>
        </w:rPr>
        <w:t>ILLUSTRATIVE TEMPLATE — NOT AN ACTUAL ISSUED NOC</w:t>
      </w:r>
    </w:p>
    <w:p>
      <w:pPr>
        <w:spacing w:before="0" w:after="40" w:line="240" w:lineRule="auto"/>
        <w:jc w:val="center"/>
      </w:pPr>
      <w:r>
        <w:rPr>
          <w:rFonts w:ascii="Calibri" w:hAnsi="Calibri"/>
          <w:b/>
          <w:i w:val="0"/>
          <w:color w:val="6B7280"/>
          <w:sz w:val="20"/>
          <w:u w:val="none"/>
        </w:rPr>
        <w:t>[STATE EMBLEM OF PAKISTAN]</w:t>
      </w:r>
    </w:p>
    <w:p>
      <w:pPr>
        <w:spacing w:before="0" w:after="40" w:line="240" w:lineRule="auto"/>
        <w:jc w:val="center"/>
      </w:pPr>
      <w:r>
        <w:rPr>
          <w:rFonts w:ascii="Calibri" w:hAnsi="Calibri"/>
          <w:b/>
          <w:i w:val="0"/>
          <w:color w:val="0B6B3A"/>
          <w:sz w:val="28"/>
          <w:u w:val="none"/>
        </w:rPr>
        <w:t>GOVERNMENT OF PAKISTAN</w:t>
      </w:r>
    </w:p>
    <w:p>
      <w:pPr>
        <w:spacing w:before="0" w:after="20" w:line="240" w:lineRule="auto"/>
        <w:jc w:val="center"/>
      </w:pPr>
      <w:r>
        <w:rPr>
          <w:rFonts w:ascii="Calibri" w:hAnsi="Calibri"/>
          <w:b/>
          <w:i w:val="0"/>
          <w:color w:val="0E1F3A"/>
          <w:sz w:val="24"/>
          <w:u w:val="none"/>
        </w:rPr>
        <w:t>Ministry of Climate Change &amp; Environmental Coordination</w:t>
      </w:r>
    </w:p>
    <w:p>
      <w:pPr>
        <w:spacing w:before="0" w:after="40" w:line="240" w:lineRule="auto"/>
        <w:jc w:val="center"/>
      </w:pPr>
      <w:r>
        <w:rPr>
          <w:rFonts w:ascii="Calibri" w:hAnsi="Calibri"/>
          <w:b/>
          <w:i w:val="0"/>
          <w:color w:val="0E1F3A"/>
          <w:sz w:val="26"/>
          <w:u w:val="none"/>
        </w:rPr>
        <w:t>PAKISTAN ENVIRONMENTAL PROTECTION AGENCY (Pak-EPA)</w:t>
      </w:r>
    </w:p>
    <w:p>
      <w:pPr>
        <w:spacing w:before="0" w:after="20" w:line="240" w:lineRule="auto"/>
        <w:jc w:val="center"/>
      </w:pPr>
      <w:r>
        <w:rPr>
          <w:rFonts w:ascii="Calibri" w:hAnsi="Calibri"/>
          <w:b w:val="0"/>
          <w:i/>
          <w:color w:val="6B7280"/>
          <w:sz w:val="20"/>
          <w:u w:val="none"/>
        </w:rPr>
        <w:t>Hazardous Substances Wing</w:t>
      </w:r>
    </w:p>
    <w:p>
      <w:pPr>
        <w:spacing w:before="0" w:after="20" w:line="240" w:lineRule="auto"/>
        <w:jc w:val="center"/>
      </w:pPr>
      <w:r>
        <w:rPr>
          <w:rFonts w:ascii="Calibri" w:hAnsi="Calibri"/>
          <w:b w:val="0"/>
          <w:i w:val="0"/>
          <w:color w:val="6B7280"/>
          <w:sz w:val="18"/>
          <w:u w:val="none"/>
        </w:rPr>
        <w:t>Plot No. 311, Street No. 32, Sector I-9/3, Islamabad — Pakistan</w:t>
      </w:r>
    </w:p>
    <w:p>
      <w:pPr>
        <w:spacing w:before="0" w:after="80" w:line="240" w:lineRule="auto"/>
        <w:jc w:val="center"/>
      </w:pPr>
      <w:r>
        <w:rPr>
          <w:rFonts w:ascii="Calibri" w:hAnsi="Calibri"/>
          <w:b w:val="0"/>
          <w:i w:val="0"/>
          <w:color w:val="6B7280"/>
          <w:sz w:val="18"/>
          <w:u w:val="none"/>
        </w:rPr>
        <w:t>Phone: +92-51-9258396   |   Email: info@environment.gov.pk   |   www.environment.gov.pk</w:t>
      </w:r>
    </w:p>
    <w:p>
      <w:pPr>
        <w:spacing w:before="0" w:after="120" w:line="240" w:lineRule="auto"/>
        <w:pBdr>
          <w:bottom w:val="single" w:sz="8" w:space="1" w:color="0E1F3A"/>
        </w:pBdr>
      </w:pPr>
    </w:p>
    <w:p>
      <w:pPr>
        <w:tabs>
          <w:tab w:pos="9360" w:val="right"/>
        </w:tabs>
        <w:spacing w:after="80"/>
      </w:pPr>
      <w:r>
        <w:rPr>
          <w:b/>
          <w:sz w:val="22"/>
        </w:rPr>
        <w:t xml:space="preserve">F. No. </w:t>
      </w:r>
      <w:r>
        <w:rPr>
          <w:color w:val="C62828"/>
          <w:sz w:val="22"/>
        </w:rPr>
        <w:t>Pak-EPA/HSR-Import/TDF/2026-____</w:t>
      </w:r>
      <w:r>
        <w:rPr>
          <w:b/>
          <w:sz w:val="22"/>
        </w:rPr>
        <w:tab/>
        <w:t xml:space="preserve">Dated: </w:t>
      </w:r>
      <w:r>
        <w:rPr>
          <w:color w:val="C62828"/>
          <w:sz w:val="22"/>
        </w:rPr>
        <w:t>____ ____________ 2026</w:t>
      </w:r>
    </w:p>
    <w:p>
      <w:pPr>
        <w:spacing w:before="0" w:after="80" w:line="240" w:lineRule="auto"/>
      </w:pPr>
    </w:p>
    <w:p>
      <w:pPr>
        <w:spacing w:before="0" w:after="40" w:line="240" w:lineRule="auto"/>
      </w:pPr>
      <w:r>
        <w:rPr>
          <w:rFonts w:ascii="Calibri" w:hAnsi="Calibri"/>
          <w:b w:val="0"/>
          <w:i w:val="0"/>
          <w:sz w:val="22"/>
          <w:u w:val="none"/>
        </w:rPr>
        <w:t>To,</w:t>
      </w:r>
    </w:p>
    <w:p>
      <w:pPr>
        <w:spacing w:before="0" w:after="20" w:line="240" w:lineRule="auto"/>
      </w:pPr>
      <w:r>
        <w:rPr>
          <w:rFonts w:ascii="Calibri" w:hAnsi="Calibri"/>
          <w:b/>
          <w:i w:val="0"/>
          <w:color w:val="C62828"/>
          <w:sz w:val="22"/>
          <w:u w:val="none"/>
        </w:rPr>
        <w:t>M/s [Importer / Cement Plant Name]</w:t>
      </w:r>
    </w:p>
    <w:p>
      <w:pPr>
        <w:spacing w:before="0" w:after="20" w:line="240" w:lineRule="auto"/>
      </w:pPr>
      <w:r>
        <w:rPr>
          <w:rFonts w:ascii="Calibri" w:hAnsi="Calibri"/>
          <w:b w:val="0"/>
          <w:i w:val="0"/>
          <w:color w:val="C62828"/>
          <w:sz w:val="22"/>
          <w:u w:val="none"/>
        </w:rPr>
        <w:t>[Registered Office Address, Line 1]</w:t>
      </w:r>
    </w:p>
    <w:p>
      <w:pPr>
        <w:spacing w:before="0" w:after="20" w:line="240" w:lineRule="auto"/>
      </w:pPr>
      <w:r>
        <w:rPr>
          <w:rFonts w:ascii="Calibri" w:hAnsi="Calibri"/>
          <w:b w:val="0"/>
          <w:i w:val="0"/>
          <w:color w:val="C62828"/>
          <w:sz w:val="22"/>
          <w:u w:val="none"/>
        </w:rPr>
        <w:t>[City — Province, Pakistan]</w:t>
      </w:r>
    </w:p>
    <w:p>
      <w:pPr>
        <w:spacing w:before="0" w:after="200" w:line="240" w:lineRule="auto"/>
      </w:pPr>
      <w:r>
        <w:rPr>
          <w:rFonts w:ascii="Calibri" w:hAnsi="Calibri"/>
          <w:b w:val="0"/>
          <w:i w:val="0"/>
          <w:color w:val="C62828"/>
          <w:sz w:val="22"/>
          <w:u w:val="none"/>
        </w:rPr>
        <w:t>Attn: [Name, Designation]</w:t>
      </w:r>
    </w:p>
    <w:p>
      <w:pPr>
        <w:spacing w:before="0" w:after="200"/>
        <w:jc w:val="left"/>
      </w:pPr>
      <w:r>
        <w:rPr>
          <w:rFonts w:ascii="Calibri" w:hAnsi="Calibri"/>
          <w:b/>
          <w:i w:val="0"/>
          <w:sz w:val="22"/>
          <w:u w:val="none"/>
        </w:rPr>
        <w:t xml:space="preserve">Subject:  </w:t>
      </w:r>
      <w:r>
        <w:rPr>
          <w:rFonts w:ascii="Calibri" w:hAnsi="Calibri"/>
          <w:b/>
          <w:i w:val="0"/>
          <w:sz w:val="22"/>
          <w:u w:val="single"/>
        </w:rPr>
        <w:t>ISSUANCE OF NO OBJECTION CERTIFICATE (NOC) FOR IMPORT OF USED PNEUMATIC TYRES (HS 4012.20) AS TYRE-DERIVED FUEL (TDF) FOR CO-PROCESSING IN CEMENT KILN</w:t>
      </w:r>
    </w:p>
    <w:p>
      <w:pPr>
        <w:spacing w:before="0" w:after="160" w:line="240" w:lineRule="auto"/>
      </w:pPr>
      <w:r>
        <w:rPr>
          <w:rFonts w:ascii="Calibri" w:hAnsi="Calibri"/>
          <w:b w:val="0"/>
          <w:i w:val="0"/>
          <w:sz w:val="22"/>
          <w:u w:val="none"/>
        </w:rPr>
        <w:t>Sir / Madam,</w:t>
      </w:r>
    </w:p>
    <w:p>
      <w:pPr>
        <w:spacing w:before="0" w:after="160" w:line="312" w:lineRule="auto"/>
        <w:jc w:val="both"/>
      </w:pPr>
      <w:r>
        <w:rPr>
          <w:rFonts w:ascii="Calibri" w:hAnsi="Calibri"/>
          <w:b w:val="0"/>
          <w:i w:val="0"/>
          <w:sz w:val="22"/>
          <w:u w:val="none"/>
        </w:rPr>
        <w:t xml:space="preserve">Please refer to your application dated </w:t>
      </w:r>
      <w:r>
        <w:rPr>
          <w:rFonts w:ascii="Calibri" w:hAnsi="Calibri"/>
          <w:b w:val="0"/>
          <w:i w:val="0"/>
          <w:sz w:val="22"/>
          <w:u w:val="none"/>
        </w:rPr>
        <w:t>[__/__/2026]</w:t>
      </w:r>
      <w:r>
        <w:rPr>
          <w:rFonts w:ascii="Calibri" w:hAnsi="Calibri"/>
          <w:b w:val="0"/>
          <w:i w:val="0"/>
          <w:sz w:val="22"/>
          <w:u w:val="none"/>
        </w:rPr>
        <w:t xml:space="preserve"> along with supporting documents seeking grant of No Objection Certificate (NOC) for import of used pneumatic tyres for utilisation as Tyre-Derived Fuel (TDF) for co-processing at your cement plant.</w:t>
      </w:r>
    </w:p>
    <w:p>
      <w:pPr>
        <w:spacing w:before="0" w:after="200" w:line="312" w:lineRule="auto"/>
        <w:jc w:val="both"/>
      </w:pPr>
      <w:r>
        <w:rPr>
          <w:rFonts w:ascii="Calibri" w:hAnsi="Calibri"/>
          <w:b w:val="0"/>
          <w:i w:val="0"/>
          <w:sz w:val="22"/>
          <w:u w:val="none"/>
        </w:rPr>
        <w:t xml:space="preserve">In exercise of the powers conferred under the </w:t>
      </w:r>
      <w:r>
        <w:rPr>
          <w:rFonts w:ascii="Calibri" w:hAnsi="Calibri"/>
          <w:b/>
          <w:i w:val="0"/>
          <w:sz w:val="22"/>
          <w:u w:val="none"/>
        </w:rPr>
        <w:t>Pakistan Environmental Protection Act, 1997</w:t>
      </w:r>
      <w:r>
        <w:rPr>
          <w:rFonts w:ascii="Calibri" w:hAnsi="Calibri"/>
          <w:b w:val="0"/>
          <w:i w:val="0"/>
          <w:sz w:val="22"/>
          <w:u w:val="none"/>
        </w:rPr>
        <w:t xml:space="preserve"> read with the </w:t>
      </w:r>
      <w:r>
        <w:rPr>
          <w:rFonts w:ascii="Calibri" w:hAnsi="Calibri"/>
          <w:b/>
          <w:i w:val="0"/>
          <w:sz w:val="22"/>
          <w:u w:val="none"/>
        </w:rPr>
        <w:t>Hazardous Substances Rules, 2003</w:t>
      </w:r>
      <w:r>
        <w:rPr>
          <w:rFonts w:ascii="Calibri" w:hAnsi="Calibri"/>
          <w:b w:val="0"/>
          <w:i w:val="0"/>
          <w:sz w:val="22"/>
          <w:u w:val="none"/>
        </w:rPr>
        <w:t xml:space="preserve">, and in pursuance of obligations under the </w:t>
      </w:r>
      <w:r>
        <w:rPr>
          <w:rFonts w:ascii="Calibri" w:hAnsi="Calibri"/>
          <w:b/>
          <w:i w:val="0"/>
          <w:sz w:val="22"/>
          <w:u w:val="none"/>
        </w:rPr>
        <w:t>Basel Convention on the Control of Transboundary Movements of Hazardous Wastes and their Disposal</w:t>
      </w:r>
      <w:r>
        <w:rPr>
          <w:rFonts w:ascii="Calibri" w:hAnsi="Calibri"/>
          <w:b w:val="0"/>
          <w:i w:val="0"/>
          <w:sz w:val="22"/>
          <w:u w:val="none"/>
        </w:rPr>
        <w:t xml:space="preserve"> (Notification Reference No. </w:t>
      </w:r>
      <w:r>
        <w:rPr>
          <w:rFonts w:ascii="Calibri" w:hAnsi="Calibri"/>
          <w:b w:val="0"/>
          <w:i w:val="0"/>
          <w:sz w:val="22"/>
          <w:u w:val="none"/>
        </w:rPr>
        <w:t>[BC-Notification-No.]</w:t>
      </w:r>
      <w:r>
        <w:rPr>
          <w:rFonts w:ascii="Calibri" w:hAnsi="Calibri"/>
          <w:b w:val="0"/>
          <w:i w:val="0"/>
          <w:sz w:val="22"/>
          <w:u w:val="none"/>
        </w:rPr>
        <w:t xml:space="preserve">), the Pakistan Environmental Protection Agency hereby conveys </w:t>
      </w:r>
      <w:r>
        <w:rPr>
          <w:rFonts w:ascii="Calibri" w:hAnsi="Calibri"/>
          <w:b/>
          <w:i w:val="0"/>
          <w:sz w:val="22"/>
          <w:u w:val="none"/>
        </w:rPr>
        <w:t>NO OBJECTION</w:t>
      </w:r>
      <w:r>
        <w:rPr>
          <w:rFonts w:ascii="Calibri" w:hAnsi="Calibri"/>
          <w:b w:val="0"/>
          <w:i w:val="0"/>
          <w:sz w:val="22"/>
          <w:u w:val="none"/>
        </w:rPr>
        <w:t xml:space="preserve"> for the import of the consignment described below, subject to the terms and conditions stipulated hereunder.</w:t>
      </w:r>
    </w:p>
    <w:p>
      <w:pPr>
        <w:spacing w:before="0" w:after="80" w:line="240" w:lineRule="auto"/>
      </w:pPr>
      <w:r>
        <w:rPr>
          <w:rFonts w:ascii="Calibri" w:hAnsi="Calibri"/>
          <w:b/>
          <w:i w:val="0"/>
          <w:sz w:val="22"/>
          <w:u w:val="none"/>
        </w:rPr>
        <w:t>1.  Particulars of the approved consignment</w:t>
      </w:r>
    </w:p>
    <w:tbl>
      <w:tblPr>
        <w:tblW w:type="auto" w:w="0"/>
        <w:tblLayout w:type="fixed"/>
        <w:tblLook w:firstColumn="1" w:firstRow="1" w:lastColumn="0" w:lastRow="0" w:noHBand="0" w:noVBand="1" w:val="04A0"/>
      </w:tblPr>
      <w:tblGrid>
        <w:gridCol w:w="3456"/>
        <w:gridCol w:w="5904"/>
      </w:tblGrid>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Importer / Consignee</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[Importer / Cement Plant Name, Address]</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Exporter / Consignor</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[Supplier Name, Country of Export]</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Country / Port of Origin</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[Brazil / Chile / Argentina / Peru / Colombia / Uruguay] – [Port]</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Port of Entry (Pakistan)</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Karachi Port Trust (KPT) / Port Qasim (PQA) — strike out as applicable</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HS Code / PCT</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4012.20.00  —  Used pneumatic tyres of rubber</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Basel Classification</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Annex IX, Entry B3140  (used pneumatic tyres, non-hazardous)</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Approved Quantity</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color w:val="C62828"/>
                <w:sz w:val="21"/>
              </w:rPr>
              <w:t>[____] metric tonnes (gross)  —  to be imported in not more than [__] consignments</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Period of Validity</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Twelve (12) months from the date of issue, unless earlier revoked</w:t>
            </w:r>
          </w:p>
        </w:tc>
      </w:tr>
    </w:tbl>
    <w:p>
      <w:pPr>
        <w:spacing w:before="0" w:after="160" w:line="240" w:lineRule="auto"/>
      </w:pPr>
    </w:p>
    <w:p>
      <w:pPr>
        <w:spacing w:before="0" w:after="80" w:line="240" w:lineRule="auto"/>
      </w:pPr>
      <w:r>
        <w:rPr>
          <w:rFonts w:ascii="Calibri" w:hAnsi="Calibri"/>
          <w:b/>
          <w:i w:val="0"/>
          <w:sz w:val="22"/>
          <w:u w:val="none"/>
        </w:rPr>
        <w:t>2.  Terms and Conditions</w:t>
      </w:r>
    </w:p>
    <w:p>
      <w:pPr>
        <w:spacing w:after="120" w:line="300" w:lineRule="auto"/>
        <w:ind w:left="576" w:hanging="576"/>
        <w:jc w:val="both"/>
      </w:pPr>
      <w:r>
        <w:rPr>
          <w:b/>
          <w:color w:val="0E1F3A"/>
          <w:sz w:val="22"/>
        </w:rPr>
        <w:t xml:space="preserve">(1)  </w:t>
      </w:r>
      <w:r>
        <w:rPr>
          <w:sz w:val="22"/>
        </w:rPr>
        <w:t>The import shall be used solely as Tyre-Derived Fuel (TDF) for thermal substitution in the cement kiln of the named end-use facility. Diversion to any other facility, sale, resale or disposal by any other means is strictly prohibited and shall be deemed a material breach of this NOC.</w:t>
      </w:r>
    </w:p>
    <w:p>
      <w:pPr>
        <w:spacing w:after="120" w:line="300" w:lineRule="auto"/>
        <w:ind w:left="576" w:hanging="576"/>
        <w:jc w:val="both"/>
      </w:pPr>
      <w:r>
        <w:rPr>
          <w:b/>
          <w:color w:val="0E1F3A"/>
          <w:sz w:val="22"/>
        </w:rPr>
        <w:t xml:space="preserve">(2)  </w:t>
      </w:r>
      <w:r>
        <w:rPr>
          <w:sz w:val="22"/>
        </w:rPr>
        <w:t>The end-use facility must hold a valid co-processing authorisation issued under the relevant SRO and shall comply at all times with the Pakistan National Environmental Quality Standards (NEQS) for emissions, in particular for dioxins / furans, hydrogen chloride, sulphur oxides, nitrogen oxides and particulate matter.</w:t>
      </w:r>
    </w:p>
    <w:p>
      <w:pPr>
        <w:spacing w:after="120" w:line="300" w:lineRule="auto"/>
        <w:ind w:left="576" w:hanging="576"/>
        <w:jc w:val="both"/>
      </w:pPr>
      <w:r>
        <w:rPr>
          <w:b/>
          <w:color w:val="0E1F3A"/>
          <w:sz w:val="22"/>
        </w:rPr>
        <w:t xml:space="preserve">(3)  </w:t>
      </w:r>
      <w:r>
        <w:rPr>
          <w:sz w:val="22"/>
        </w:rPr>
        <w:t>The importer shall ensure that each consignment is accompanied by the Basel Movement Document (Annex IB) duly endorsed by the Competent Authority of the country of export. The signed Annex IB shall be returned to the exporter and the originating Competent Authority within one hundred and eighty (180) days of completion of disposal.</w:t>
      </w:r>
    </w:p>
    <w:p>
      <w:pPr>
        <w:spacing w:after="120" w:line="300" w:lineRule="auto"/>
        <w:ind w:left="576" w:hanging="576"/>
        <w:jc w:val="both"/>
      </w:pPr>
      <w:r>
        <w:rPr>
          <w:b/>
          <w:color w:val="0E1F3A"/>
          <w:sz w:val="22"/>
        </w:rPr>
        <w:t xml:space="preserve">(4)  </w:t>
      </w:r>
      <w:r>
        <w:rPr>
          <w:sz w:val="22"/>
        </w:rPr>
        <w:t>Each consignment shall be accompanied by a Pre-Shipment Inspection (PSI) certificate issued by an internationally recognised surveyor (SGS, Bureau Veritas, Intertek, Cotecna or equivalent) and a Certificate of Analysis (CoA) confirming compliance with the agreed kiln-grade specification.</w:t>
      </w:r>
    </w:p>
    <w:p>
      <w:pPr>
        <w:spacing w:after="120" w:line="300" w:lineRule="auto"/>
        <w:ind w:left="576" w:hanging="576"/>
        <w:jc w:val="both"/>
      </w:pPr>
      <w:r>
        <w:rPr>
          <w:b/>
          <w:color w:val="0E1F3A"/>
          <w:sz w:val="22"/>
        </w:rPr>
        <w:t xml:space="preserve">(5)  </w:t>
      </w:r>
      <w:r>
        <w:rPr>
          <w:sz w:val="22"/>
        </w:rPr>
        <w:t>The consignment shall be free of soil, water, organic debris and any vector-attracting matter. Cleanliness and vector-control declarations from the country of export must travel with the shipment.</w:t>
      </w:r>
    </w:p>
    <w:p>
      <w:pPr>
        <w:spacing w:after="120" w:line="300" w:lineRule="auto"/>
        <w:ind w:left="576" w:hanging="576"/>
        <w:jc w:val="both"/>
      </w:pPr>
      <w:r>
        <w:rPr>
          <w:b/>
          <w:color w:val="0E1F3A"/>
          <w:sz w:val="22"/>
        </w:rPr>
        <w:t xml:space="preserve">(6)  </w:t>
      </w:r>
      <w:r>
        <w:rPr>
          <w:sz w:val="22"/>
        </w:rPr>
        <w:t>Prior intimation of each shipment, including vessel name, container numbers, ETA and consignment quantity, shall be sent to Pak-EPA, the concerned Provincial EPA, the Collectorate of Customs at the port of entry, and the Ministry of Climate Change &amp; Environmental Coordination, not later than seven (7) days prior to vessel arrival.</w:t>
      </w:r>
    </w:p>
    <w:p>
      <w:pPr>
        <w:spacing w:after="120" w:line="300" w:lineRule="auto"/>
        <w:ind w:left="576" w:hanging="576"/>
        <w:jc w:val="both"/>
      </w:pPr>
      <w:r>
        <w:rPr>
          <w:b/>
          <w:color w:val="0E1F3A"/>
          <w:sz w:val="22"/>
        </w:rPr>
        <w:t xml:space="preserve">(7)  </w:t>
      </w:r>
      <w:r>
        <w:rPr>
          <w:sz w:val="22"/>
        </w:rPr>
        <w:t>On arrival, the consignment is liable to physical examination and sampling by Pak-EPA / Provincial EPA officers. The cost of such examination, including laboratory analysis where required, shall be borne by the importer.</w:t>
      </w:r>
    </w:p>
    <w:p>
      <w:pPr>
        <w:spacing w:after="120" w:line="300" w:lineRule="auto"/>
        <w:ind w:left="576" w:hanging="576"/>
        <w:jc w:val="both"/>
      </w:pPr>
      <w:r>
        <w:rPr>
          <w:b/>
          <w:color w:val="0E1F3A"/>
          <w:sz w:val="22"/>
        </w:rPr>
        <w:t xml:space="preserve">(8)  </w:t>
      </w:r>
      <w:r>
        <w:rPr>
          <w:sz w:val="22"/>
        </w:rPr>
        <w:t>The importer shall maintain complete and verifiable records of quantities received, stored, processed and the dates of co-processing for each consignment. Records shall be retained for a minimum of five (5) years and made available for inspection by Pak-EPA, MoCC or the Provincial EPA at any time.</w:t>
      </w:r>
    </w:p>
    <w:p>
      <w:pPr>
        <w:spacing w:after="120" w:line="300" w:lineRule="auto"/>
        <w:ind w:left="576" w:hanging="576"/>
        <w:jc w:val="both"/>
      </w:pPr>
      <w:r>
        <w:rPr>
          <w:b/>
          <w:color w:val="0E1F3A"/>
          <w:sz w:val="22"/>
        </w:rPr>
        <w:t xml:space="preserve">(9)  </w:t>
      </w:r>
      <w:r>
        <w:rPr>
          <w:sz w:val="22"/>
        </w:rPr>
        <w:t>A quarterly compliance report shall be submitted to Pak-EPA detailing quantities imported, co-processed, emission monitoring data and any non-conformances. An annual return shall additionally be filed in fulfilment of the importer's reporting obligations under the Basel Convention.</w:t>
      </w:r>
    </w:p>
    <w:p>
      <w:pPr>
        <w:spacing w:after="120" w:line="300" w:lineRule="auto"/>
        <w:ind w:left="576" w:hanging="576"/>
        <w:jc w:val="both"/>
      </w:pPr>
      <w:r>
        <w:rPr>
          <w:b/>
          <w:color w:val="0E1F3A"/>
          <w:sz w:val="22"/>
        </w:rPr>
        <w:t xml:space="preserve">(10)  </w:t>
      </w:r>
      <w:r>
        <w:rPr>
          <w:sz w:val="22"/>
        </w:rPr>
        <w:t>This NOC is non-transferable. It cannot be assigned, sub-let, or used by any party other than the named importer for the named end-use facility.</w:t>
      </w:r>
    </w:p>
    <w:p>
      <w:pPr>
        <w:spacing w:after="120" w:line="300" w:lineRule="auto"/>
        <w:ind w:left="576" w:hanging="576"/>
        <w:jc w:val="both"/>
      </w:pPr>
      <w:r>
        <w:rPr>
          <w:b/>
          <w:color w:val="0E1F3A"/>
          <w:sz w:val="22"/>
        </w:rPr>
        <w:t xml:space="preserve">(11)  </w:t>
      </w:r>
      <w:r>
        <w:rPr>
          <w:sz w:val="22"/>
        </w:rPr>
        <w:t>Pak-EPA reserves the right to suspend, modify or revoke this NOC at any time, with immediate effect, in case of breach of any condition herein, mis-declaration, environmental harm, or in the public interest, without entitlement to compensation.</w:t>
      </w:r>
    </w:p>
    <w:p>
      <w:pPr>
        <w:spacing w:after="120" w:line="300" w:lineRule="auto"/>
        <w:ind w:left="576" w:hanging="576"/>
        <w:jc w:val="both"/>
      </w:pPr>
      <w:r>
        <w:rPr>
          <w:b/>
          <w:color w:val="0E1F3A"/>
          <w:sz w:val="22"/>
        </w:rPr>
        <w:t xml:space="preserve">(12)  </w:t>
      </w:r>
      <w:r>
        <w:rPr>
          <w:sz w:val="22"/>
        </w:rPr>
        <w:t>Any consignment found to be non-conforming, hazardous beyond the declared classification, or otherwise unfit for co-processing, shall be re-exported by the importer, at the importer's cost, in accordance with Article 9 of the Basel Convention.</w:t>
      </w:r>
    </w:p>
    <w:p>
      <w:pPr>
        <w:spacing w:before="0" w:after="160" w:line="240" w:lineRule="auto"/>
      </w:pPr>
    </w:p>
    <w:p>
      <w:pPr>
        <w:spacing w:before="0" w:after="280" w:line="312" w:lineRule="auto"/>
        <w:jc w:val="both"/>
      </w:pPr>
      <w:r>
        <w:rPr>
          <w:rFonts w:ascii="Calibri" w:hAnsi="Calibri"/>
          <w:b w:val="0"/>
          <w:i w:val="0"/>
          <w:sz w:val="22"/>
          <w:u w:val="none"/>
        </w:rPr>
        <w:t>This NOC is issued without prejudice to any other approvals, permits or clearances which the importer may be required to obtain from the Provincial Environmental Protection Agency, the Pakistan Customs, the State Bank of Pakistan, the Ministry of Commerce, or any other authority competent in the matter.</w:t>
      </w:r>
    </w:p>
    <w:p>
      <w:pPr>
        <w:spacing w:before="0" w:after="440" w:line="240" w:lineRule="auto"/>
      </w:pPr>
    </w:p>
    <w:p>
      <w:pPr>
        <w:spacing w:after="40"/>
        <w:jc w:val="right"/>
      </w:pPr>
      <w:r>
        <w:rPr>
          <w:sz w:val="22"/>
        </w:rPr>
        <w:t>(_______________________________)</w:t>
      </w:r>
    </w:p>
    <w:p>
      <w:pPr>
        <w:spacing w:before="0" w:after="20" w:line="240" w:lineRule="auto"/>
        <w:jc w:val="right"/>
      </w:pPr>
      <w:r>
        <w:rPr>
          <w:rFonts w:ascii="Calibri" w:hAnsi="Calibri"/>
          <w:b/>
          <w:i w:val="0"/>
          <w:color w:val="0E1F3A"/>
          <w:sz w:val="22"/>
          <w:u w:val="none"/>
        </w:rPr>
        <w:t>Director General</w:t>
      </w:r>
    </w:p>
    <w:p>
      <w:pPr>
        <w:spacing w:before="0" w:after="20" w:line="240" w:lineRule="auto"/>
        <w:jc w:val="right"/>
      </w:pPr>
      <w:r>
        <w:rPr>
          <w:rFonts w:ascii="Calibri" w:hAnsi="Calibri"/>
          <w:b w:val="0"/>
          <w:i w:val="0"/>
          <w:color w:val="6B7280"/>
          <w:sz w:val="20"/>
          <w:u w:val="none"/>
        </w:rPr>
        <w:t>Pakistan Environmental Protection Agency</w:t>
      </w:r>
    </w:p>
    <w:p>
      <w:pPr>
        <w:spacing w:before="0" w:after="280" w:line="240" w:lineRule="auto"/>
        <w:jc w:val="right"/>
      </w:pPr>
      <w:r>
        <w:rPr>
          <w:rFonts w:ascii="Calibri" w:hAnsi="Calibri"/>
          <w:b w:val="0"/>
          <w:i/>
          <w:color w:val="6B7280"/>
          <w:sz w:val="18"/>
          <w:u w:val="none"/>
        </w:rPr>
        <w:t>[Official Round Seal]</w:t>
      </w:r>
    </w:p>
    <w:p>
      <w:pPr>
        <w:spacing w:before="0" w:after="80" w:line="240" w:lineRule="auto"/>
      </w:pPr>
      <w:r>
        <w:rPr>
          <w:rFonts w:ascii="Calibri" w:hAnsi="Calibri"/>
          <w:b/>
          <w:i w:val="0"/>
          <w:sz w:val="22"/>
          <w:u w:val="none"/>
        </w:rPr>
        <w:t>Copy to:</w:t>
      </w:r>
    </w:p>
    <w:p>
      <w:pPr>
        <w:spacing w:after="60" w:line="288" w:lineRule="auto"/>
        <w:ind w:left="576" w:hanging="576"/>
      </w:pPr>
      <w:r>
        <w:rPr>
          <w:b/>
          <w:sz w:val="21"/>
        </w:rPr>
        <w:t xml:space="preserve">1.  </w:t>
      </w:r>
      <w:r>
        <w:rPr>
          <w:sz w:val="21"/>
        </w:rPr>
        <w:t>Secretary, Ministry of Climate Change &amp; Environmental Coordination, Islamabad — for kind information.</w:t>
      </w:r>
    </w:p>
    <w:p>
      <w:pPr>
        <w:spacing w:after="60" w:line="288" w:lineRule="auto"/>
        <w:ind w:left="576" w:hanging="576"/>
      </w:pPr>
      <w:r>
        <w:rPr>
          <w:b/>
          <w:sz w:val="21"/>
        </w:rPr>
        <w:t xml:space="preserve">2.  </w:t>
      </w:r>
      <w:r>
        <w:rPr>
          <w:sz w:val="21"/>
        </w:rPr>
        <w:t>Director General, Provincial EPA — [Sindh / Punjab / Khyber Pakhtunkhwa] — for information and necessary action.</w:t>
      </w:r>
    </w:p>
    <w:p>
      <w:pPr>
        <w:spacing w:after="60" w:line="288" w:lineRule="auto"/>
        <w:ind w:left="576" w:hanging="576"/>
      </w:pPr>
      <w:r>
        <w:rPr>
          <w:b/>
          <w:sz w:val="21"/>
        </w:rPr>
        <w:t xml:space="preserve">3.  </w:t>
      </w:r>
      <w:r>
        <w:rPr>
          <w:sz w:val="21"/>
        </w:rPr>
        <w:t>Collector of Customs (Appraisement), Karachi Port Trust / Port Qasim Authority — for information and necessary action at the time of clearance.</w:t>
      </w:r>
    </w:p>
    <w:p>
      <w:pPr>
        <w:spacing w:after="60" w:line="288" w:lineRule="auto"/>
        <w:ind w:left="576" w:hanging="576"/>
      </w:pPr>
      <w:r>
        <w:rPr>
          <w:b/>
          <w:sz w:val="21"/>
        </w:rPr>
        <w:t xml:space="preserve">4.  </w:t>
      </w:r>
      <w:r>
        <w:rPr>
          <w:sz w:val="21"/>
        </w:rPr>
        <w:t>Director, Hazardous Substances Wing, Pak-EPA — for record.</w:t>
      </w:r>
    </w:p>
    <w:p>
      <w:pPr>
        <w:spacing w:after="60" w:line="288" w:lineRule="auto"/>
        <w:ind w:left="576" w:hanging="576"/>
      </w:pPr>
      <w:r>
        <w:rPr>
          <w:b/>
          <w:sz w:val="21"/>
        </w:rPr>
        <w:t xml:space="preserve">5.  </w:t>
      </w:r>
      <w:r>
        <w:rPr>
          <w:sz w:val="21"/>
        </w:rPr>
        <w:t>Office File.</w:t>
      </w:r>
    </w:p>
    <w:p>
      <w:pPr>
        <w:spacing w:before="0" w:after="120" w:line="240" w:lineRule="auto"/>
      </w:pPr>
    </w:p>
    <w:p>
      <w:pPr>
        <w:spacing w:before="0" w:after="80" w:line="240" w:lineRule="auto"/>
        <w:jc w:val="center"/>
      </w:pPr>
      <w:r>
        <w:rPr>
          <w:rFonts w:ascii="Calibri" w:hAnsi="Calibri"/>
          <w:b w:val="0"/>
          <w:i/>
          <w:color w:val="6B7280"/>
          <w:sz w:val="18"/>
          <w:u w:val="none"/>
        </w:rPr>
        <w:t>— End of NOC —</w:t>
      </w:r>
    </w:p>
    <w:p>
      <w:pPr>
        <w:spacing w:before="0" w:after="80" w:line="240" w:lineRule="auto"/>
        <w:jc w:val="center"/>
      </w:pPr>
      <w:r>
        <w:rPr>
          <w:rFonts w:ascii="Calibri" w:hAnsi="Calibri"/>
          <w:b w:val="0"/>
          <w:i/>
          <w:color w:val="6B7280"/>
          <w:sz w:val="17"/>
          <w:u w:val="none"/>
        </w:rPr>
        <w:t>Reference template prepared for internal use. Field placeholders shown in red are to be completed at the time of application or issuance. The exact format, conditions and issuing officer's designation may differ from the actual NOC issued by Pak-EPA.</w:t>
      </w:r>
    </w:p>
    <w:sectPr w:rsidR="00FC693F" w:rsidRPr="0006063C" w:rsidSect="00034616">
      <w:pgSz w:w="11906" w:h="16838"/>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